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AD" w:rsidRDefault="00542DAD" w:rsidP="00542DAD">
      <w:pPr>
        <w:tabs>
          <w:tab w:val="num" w:pos="0"/>
        </w:tabs>
        <w:autoSpaceDE w:val="0"/>
        <w:autoSpaceDN w:val="0"/>
        <w:adjustRightInd w:val="0"/>
        <w:jc w:val="both"/>
        <w:rPr>
          <w:rFonts w:cs="Calibri"/>
          <w:color w:val="000000"/>
          <w:sz w:val="22"/>
          <w:szCs w:val="22"/>
          <w:lang w:val="en-US"/>
        </w:rPr>
      </w:pPr>
    </w:p>
    <w:p w:rsidR="00542DAD" w:rsidRPr="00542DAD" w:rsidRDefault="00542DAD" w:rsidP="00542DAD">
      <w:pPr>
        <w:tabs>
          <w:tab w:val="num" w:pos="0"/>
        </w:tabs>
        <w:autoSpaceDE w:val="0"/>
        <w:autoSpaceDN w:val="0"/>
        <w:adjustRightInd w:val="0"/>
        <w:jc w:val="both"/>
        <w:rPr>
          <w:rFonts w:asciiTheme="minorHAnsi" w:hAnsiTheme="minorHAnsi" w:cstheme="minorHAnsi"/>
          <w:color w:val="000000"/>
          <w:sz w:val="22"/>
          <w:szCs w:val="22"/>
          <w:lang w:val="en-US"/>
        </w:rPr>
      </w:pPr>
    </w:p>
    <w:p w:rsidR="002F4D01" w:rsidRDefault="002F4D01" w:rsidP="00542DAD">
      <w:pPr>
        <w:pStyle w:val="Paragrafoelenco"/>
        <w:tabs>
          <w:tab w:val="num" w:pos="0"/>
        </w:tabs>
        <w:autoSpaceDE w:val="0"/>
        <w:autoSpaceDN w:val="0"/>
        <w:adjustRightInd w:val="0"/>
        <w:ind w:left="284"/>
        <w:jc w:val="both"/>
        <w:rPr>
          <w:rFonts w:asciiTheme="minorHAnsi" w:hAnsiTheme="minorHAnsi" w:cstheme="minorHAnsi"/>
          <w:lang w:val="en-US"/>
        </w:rPr>
      </w:pPr>
    </w:p>
    <w:p w:rsidR="00542DAD" w:rsidRDefault="00542DAD" w:rsidP="00542DAD">
      <w:pPr>
        <w:pStyle w:val="Paragrafoelenco"/>
        <w:tabs>
          <w:tab w:val="num" w:pos="0"/>
        </w:tabs>
        <w:autoSpaceDE w:val="0"/>
        <w:autoSpaceDN w:val="0"/>
        <w:adjustRightInd w:val="0"/>
        <w:ind w:left="284"/>
        <w:jc w:val="both"/>
        <w:rPr>
          <w:rFonts w:asciiTheme="minorHAnsi" w:hAnsiTheme="minorHAnsi" w:cstheme="minorHAnsi"/>
          <w:lang w:val="en-US"/>
        </w:rPr>
      </w:pPr>
      <w:bookmarkStart w:id="0" w:name="_GoBack"/>
      <w:bookmarkEnd w:id="0"/>
      <w:r w:rsidRPr="00542DAD">
        <w:rPr>
          <w:rFonts w:asciiTheme="minorHAnsi" w:hAnsiTheme="minorHAnsi" w:cstheme="minorHAnsi"/>
          <w:lang w:val="en-US"/>
        </w:rPr>
        <w:t xml:space="preserve">The Department of Electrical and Information Engineering (DEI) was established in 1982 to foster, coordinate, manage research/training and education/technology transfer activities in electrical and information engineering. The Department is chaired by Prof. Saverio Mascolo and its staff includes 69 full time tenured researchers, 14 administrative assistants, and many PhDs and </w:t>
      </w:r>
      <w:proofErr w:type="spellStart"/>
      <w:r w:rsidRPr="00542DAD">
        <w:rPr>
          <w:rFonts w:asciiTheme="minorHAnsi" w:hAnsiTheme="minorHAnsi" w:cstheme="minorHAnsi"/>
          <w:lang w:val="en-US"/>
        </w:rPr>
        <w:t>PostDocs</w:t>
      </w:r>
      <w:proofErr w:type="spellEnd"/>
      <w:r w:rsidRPr="00542DAD">
        <w:rPr>
          <w:rFonts w:asciiTheme="minorHAnsi" w:hAnsiTheme="minorHAnsi" w:cstheme="minorHAnsi"/>
          <w:lang w:val="en-US"/>
        </w:rPr>
        <w:t xml:space="preserve">. DEI includes 12 Scientific Research Areas and more than 20 Laboratories: </w:t>
      </w:r>
    </w:p>
    <w:p w:rsidR="00542DAD" w:rsidRDefault="00542DAD" w:rsidP="00542DAD">
      <w:pPr>
        <w:pStyle w:val="Paragrafoelenco"/>
        <w:numPr>
          <w:ilvl w:val="0"/>
          <w:numId w:val="6"/>
        </w:numPr>
        <w:autoSpaceDE w:val="0"/>
        <w:autoSpaceDN w:val="0"/>
        <w:adjustRightInd w:val="0"/>
        <w:ind w:left="709" w:hanging="283"/>
        <w:jc w:val="both"/>
        <w:rPr>
          <w:rFonts w:asciiTheme="minorHAnsi" w:hAnsiTheme="minorHAnsi" w:cstheme="minorHAnsi"/>
          <w:lang w:val="en-US"/>
        </w:rPr>
      </w:pPr>
      <w:r w:rsidRPr="00542DAD">
        <w:rPr>
          <w:rFonts w:asciiTheme="minorHAnsi" w:hAnsiTheme="minorHAnsi" w:cstheme="minorHAnsi"/>
          <w:lang w:val="en-US"/>
        </w:rPr>
        <w:t xml:space="preserve">Computer Science, </w:t>
      </w:r>
    </w:p>
    <w:p w:rsidR="00542DAD" w:rsidRPr="00542DAD" w:rsidRDefault="00542DAD" w:rsidP="00542DAD">
      <w:pPr>
        <w:pStyle w:val="Paragrafoelenco"/>
        <w:numPr>
          <w:ilvl w:val="0"/>
          <w:numId w:val="6"/>
        </w:numPr>
        <w:tabs>
          <w:tab w:val="num" w:pos="0"/>
        </w:tabs>
        <w:autoSpaceDE w:val="0"/>
        <w:autoSpaceDN w:val="0"/>
        <w:adjustRightInd w:val="0"/>
        <w:ind w:left="709" w:hanging="283"/>
        <w:jc w:val="both"/>
        <w:rPr>
          <w:rFonts w:asciiTheme="minorHAnsi" w:hAnsiTheme="minorHAnsi" w:cstheme="minorHAnsi"/>
          <w:lang w:val="en-US"/>
        </w:rPr>
      </w:pPr>
      <w:r w:rsidRPr="00542DAD">
        <w:rPr>
          <w:rFonts w:asciiTheme="minorHAnsi" w:hAnsiTheme="minorHAnsi" w:cstheme="minorHAnsi"/>
          <w:lang w:val="en-US"/>
        </w:rPr>
        <w:t xml:space="preserve">Control Systems Engineering; </w:t>
      </w:r>
    </w:p>
    <w:p w:rsidR="00542DAD" w:rsidRPr="00542DAD" w:rsidRDefault="00542DAD" w:rsidP="00542DAD">
      <w:pPr>
        <w:pStyle w:val="Paragrafoelenco"/>
        <w:numPr>
          <w:ilvl w:val="0"/>
          <w:numId w:val="5"/>
        </w:numPr>
        <w:tabs>
          <w:tab w:val="num" w:pos="0"/>
        </w:tabs>
        <w:autoSpaceDE w:val="0"/>
        <w:autoSpaceDN w:val="0"/>
        <w:adjustRightInd w:val="0"/>
        <w:jc w:val="both"/>
        <w:rPr>
          <w:rFonts w:asciiTheme="minorHAnsi" w:hAnsiTheme="minorHAnsi" w:cstheme="minorHAnsi"/>
          <w:lang w:val="en-US"/>
        </w:rPr>
      </w:pPr>
      <w:r w:rsidRPr="00542DAD">
        <w:rPr>
          <w:rFonts w:asciiTheme="minorHAnsi" w:hAnsiTheme="minorHAnsi" w:cstheme="minorHAnsi"/>
          <w:lang w:val="en-US"/>
        </w:rPr>
        <w:t xml:space="preserve">Converters, Electrical Machines and Drives; </w:t>
      </w:r>
    </w:p>
    <w:p w:rsidR="00542DAD" w:rsidRPr="00542DAD" w:rsidRDefault="00542DAD" w:rsidP="00542DAD">
      <w:pPr>
        <w:pStyle w:val="Paragrafoelenco"/>
        <w:numPr>
          <w:ilvl w:val="0"/>
          <w:numId w:val="5"/>
        </w:numPr>
        <w:tabs>
          <w:tab w:val="num" w:pos="0"/>
        </w:tabs>
        <w:autoSpaceDE w:val="0"/>
        <w:autoSpaceDN w:val="0"/>
        <w:adjustRightInd w:val="0"/>
        <w:jc w:val="both"/>
        <w:rPr>
          <w:rFonts w:asciiTheme="minorHAnsi" w:hAnsiTheme="minorHAnsi" w:cstheme="minorHAnsi"/>
          <w:lang w:val="en-US"/>
        </w:rPr>
      </w:pPr>
      <w:r w:rsidRPr="00542DAD">
        <w:rPr>
          <w:rFonts w:asciiTheme="minorHAnsi" w:hAnsiTheme="minorHAnsi" w:cstheme="minorHAnsi"/>
          <w:lang w:val="en-US"/>
        </w:rPr>
        <w:t xml:space="preserve">Electrical and Electronic Measurements; </w:t>
      </w:r>
    </w:p>
    <w:p w:rsidR="00542DAD" w:rsidRPr="00542DAD" w:rsidRDefault="00542DAD" w:rsidP="00542DAD">
      <w:pPr>
        <w:pStyle w:val="Paragrafoelenco"/>
        <w:numPr>
          <w:ilvl w:val="0"/>
          <w:numId w:val="5"/>
        </w:numPr>
        <w:tabs>
          <w:tab w:val="num" w:pos="0"/>
        </w:tabs>
        <w:autoSpaceDE w:val="0"/>
        <w:autoSpaceDN w:val="0"/>
        <w:adjustRightInd w:val="0"/>
        <w:jc w:val="both"/>
        <w:rPr>
          <w:rFonts w:asciiTheme="minorHAnsi" w:hAnsiTheme="minorHAnsi" w:cstheme="minorHAnsi"/>
          <w:lang w:val="en-US"/>
        </w:rPr>
      </w:pPr>
      <w:r w:rsidRPr="00542DAD">
        <w:rPr>
          <w:rFonts w:asciiTheme="minorHAnsi" w:hAnsiTheme="minorHAnsi" w:cstheme="minorHAnsi"/>
          <w:lang w:val="en-US"/>
        </w:rPr>
        <w:t xml:space="preserve">Electrical Energy Systems; </w:t>
      </w:r>
    </w:p>
    <w:p w:rsidR="00542DAD" w:rsidRPr="00542DAD" w:rsidRDefault="00542DAD" w:rsidP="00542DAD">
      <w:pPr>
        <w:pStyle w:val="Paragrafoelenco"/>
        <w:numPr>
          <w:ilvl w:val="0"/>
          <w:numId w:val="5"/>
        </w:numPr>
        <w:tabs>
          <w:tab w:val="num" w:pos="0"/>
        </w:tabs>
        <w:autoSpaceDE w:val="0"/>
        <w:autoSpaceDN w:val="0"/>
        <w:adjustRightInd w:val="0"/>
        <w:jc w:val="both"/>
        <w:rPr>
          <w:rFonts w:asciiTheme="minorHAnsi" w:hAnsiTheme="minorHAnsi" w:cstheme="minorHAnsi"/>
          <w:lang w:val="en-US"/>
        </w:rPr>
      </w:pPr>
      <w:r w:rsidRPr="00542DAD">
        <w:rPr>
          <w:rFonts w:asciiTheme="minorHAnsi" w:hAnsiTheme="minorHAnsi" w:cstheme="minorHAnsi"/>
          <w:lang w:val="en-US"/>
        </w:rPr>
        <w:t xml:space="preserve">Electrical Engineering; </w:t>
      </w:r>
    </w:p>
    <w:p w:rsidR="00542DAD" w:rsidRPr="00542DAD" w:rsidRDefault="00542DAD" w:rsidP="00542DAD">
      <w:pPr>
        <w:pStyle w:val="Paragrafoelenco"/>
        <w:numPr>
          <w:ilvl w:val="0"/>
          <w:numId w:val="5"/>
        </w:numPr>
        <w:tabs>
          <w:tab w:val="num" w:pos="0"/>
        </w:tabs>
        <w:autoSpaceDE w:val="0"/>
        <w:autoSpaceDN w:val="0"/>
        <w:adjustRightInd w:val="0"/>
        <w:jc w:val="both"/>
        <w:rPr>
          <w:rFonts w:asciiTheme="minorHAnsi" w:hAnsiTheme="minorHAnsi" w:cstheme="minorHAnsi"/>
          <w:lang w:val="en-US"/>
        </w:rPr>
      </w:pPr>
      <w:r w:rsidRPr="00542DAD">
        <w:rPr>
          <w:rFonts w:asciiTheme="minorHAnsi" w:hAnsiTheme="minorHAnsi" w:cstheme="minorHAnsi"/>
          <w:lang w:val="en-US"/>
        </w:rPr>
        <w:t xml:space="preserve">Electromagnetic Fields; </w:t>
      </w:r>
    </w:p>
    <w:p w:rsidR="00542DAD" w:rsidRPr="00542DAD" w:rsidRDefault="00542DAD" w:rsidP="00542DAD">
      <w:pPr>
        <w:pStyle w:val="Paragrafoelenco"/>
        <w:numPr>
          <w:ilvl w:val="0"/>
          <w:numId w:val="5"/>
        </w:numPr>
        <w:tabs>
          <w:tab w:val="num" w:pos="0"/>
        </w:tabs>
        <w:autoSpaceDE w:val="0"/>
        <w:autoSpaceDN w:val="0"/>
        <w:adjustRightInd w:val="0"/>
        <w:jc w:val="both"/>
        <w:rPr>
          <w:rFonts w:asciiTheme="minorHAnsi" w:hAnsiTheme="minorHAnsi" w:cstheme="minorHAnsi"/>
          <w:lang w:val="en-US"/>
        </w:rPr>
      </w:pPr>
      <w:r w:rsidRPr="00542DAD">
        <w:rPr>
          <w:rFonts w:asciiTheme="minorHAnsi" w:hAnsiTheme="minorHAnsi" w:cstheme="minorHAnsi"/>
          <w:lang w:val="en-US"/>
        </w:rPr>
        <w:t xml:space="preserve">Electronics; </w:t>
      </w:r>
    </w:p>
    <w:p w:rsidR="00542DAD" w:rsidRPr="00542DAD" w:rsidRDefault="00542DAD" w:rsidP="00542DAD">
      <w:pPr>
        <w:pStyle w:val="Paragrafoelenco"/>
        <w:numPr>
          <w:ilvl w:val="0"/>
          <w:numId w:val="5"/>
        </w:numPr>
        <w:tabs>
          <w:tab w:val="num" w:pos="0"/>
        </w:tabs>
        <w:autoSpaceDE w:val="0"/>
        <w:autoSpaceDN w:val="0"/>
        <w:adjustRightInd w:val="0"/>
        <w:jc w:val="both"/>
        <w:rPr>
          <w:rFonts w:asciiTheme="minorHAnsi" w:hAnsiTheme="minorHAnsi" w:cstheme="minorHAnsi"/>
          <w:lang w:val="en-US"/>
        </w:rPr>
      </w:pPr>
      <w:r w:rsidRPr="00542DAD">
        <w:rPr>
          <w:rFonts w:asciiTheme="minorHAnsi" w:hAnsiTheme="minorHAnsi" w:cstheme="minorHAnsi"/>
          <w:lang w:val="en-US"/>
        </w:rPr>
        <w:t xml:space="preserve">Medical Systems Engineering; </w:t>
      </w:r>
    </w:p>
    <w:p w:rsidR="00542DAD" w:rsidRPr="00542DAD" w:rsidRDefault="00542DAD" w:rsidP="00542DAD">
      <w:pPr>
        <w:pStyle w:val="Paragrafoelenco"/>
        <w:numPr>
          <w:ilvl w:val="0"/>
          <w:numId w:val="5"/>
        </w:numPr>
        <w:tabs>
          <w:tab w:val="num" w:pos="0"/>
        </w:tabs>
        <w:autoSpaceDE w:val="0"/>
        <w:autoSpaceDN w:val="0"/>
        <w:adjustRightInd w:val="0"/>
        <w:jc w:val="both"/>
        <w:rPr>
          <w:rFonts w:asciiTheme="minorHAnsi" w:hAnsiTheme="minorHAnsi" w:cstheme="minorHAnsi"/>
          <w:lang w:val="en-US"/>
        </w:rPr>
      </w:pPr>
      <w:r w:rsidRPr="00542DAD">
        <w:rPr>
          <w:rFonts w:asciiTheme="minorHAnsi" w:hAnsiTheme="minorHAnsi" w:cstheme="minorHAnsi"/>
          <w:lang w:val="en-US"/>
        </w:rPr>
        <w:t xml:space="preserve">Numerical Analysis; </w:t>
      </w:r>
    </w:p>
    <w:p w:rsidR="00542DAD" w:rsidRPr="00542DAD" w:rsidRDefault="00542DAD" w:rsidP="00542DAD">
      <w:pPr>
        <w:pStyle w:val="Paragrafoelenco"/>
        <w:numPr>
          <w:ilvl w:val="0"/>
          <w:numId w:val="5"/>
        </w:numPr>
        <w:tabs>
          <w:tab w:val="num" w:pos="0"/>
        </w:tabs>
        <w:autoSpaceDE w:val="0"/>
        <w:autoSpaceDN w:val="0"/>
        <w:adjustRightInd w:val="0"/>
        <w:jc w:val="both"/>
        <w:rPr>
          <w:rFonts w:asciiTheme="minorHAnsi" w:hAnsiTheme="minorHAnsi" w:cstheme="minorHAnsi"/>
          <w:lang w:val="en-US"/>
        </w:rPr>
      </w:pPr>
      <w:r w:rsidRPr="00542DAD">
        <w:rPr>
          <w:rFonts w:asciiTheme="minorHAnsi" w:hAnsiTheme="minorHAnsi" w:cstheme="minorHAnsi"/>
          <w:lang w:val="en-US"/>
        </w:rPr>
        <w:t xml:space="preserve">Operations Research; </w:t>
      </w:r>
    </w:p>
    <w:p w:rsidR="00542DAD" w:rsidRPr="00542DAD" w:rsidRDefault="00542DAD" w:rsidP="00542DAD">
      <w:pPr>
        <w:pStyle w:val="Paragrafoelenco"/>
        <w:numPr>
          <w:ilvl w:val="0"/>
          <w:numId w:val="5"/>
        </w:numPr>
        <w:tabs>
          <w:tab w:val="num" w:pos="0"/>
        </w:tabs>
        <w:autoSpaceDE w:val="0"/>
        <w:autoSpaceDN w:val="0"/>
        <w:adjustRightInd w:val="0"/>
        <w:jc w:val="both"/>
        <w:rPr>
          <w:rFonts w:asciiTheme="minorHAnsi" w:hAnsiTheme="minorHAnsi" w:cstheme="minorHAnsi"/>
          <w:lang w:val="en-US"/>
        </w:rPr>
      </w:pPr>
      <w:r w:rsidRPr="00542DAD">
        <w:rPr>
          <w:rFonts w:asciiTheme="minorHAnsi" w:hAnsiTheme="minorHAnsi" w:cstheme="minorHAnsi"/>
          <w:lang w:val="en-US"/>
        </w:rPr>
        <w:t xml:space="preserve">Telecommunications. </w:t>
      </w:r>
    </w:p>
    <w:p w:rsidR="00975B32" w:rsidRPr="00542DAD" w:rsidRDefault="00542DAD" w:rsidP="00542DAD">
      <w:pPr>
        <w:tabs>
          <w:tab w:val="num" w:pos="0"/>
        </w:tabs>
        <w:autoSpaceDE w:val="0"/>
        <w:autoSpaceDN w:val="0"/>
        <w:adjustRightInd w:val="0"/>
        <w:jc w:val="both"/>
        <w:rPr>
          <w:rFonts w:asciiTheme="minorHAnsi" w:hAnsiTheme="minorHAnsi" w:cstheme="minorHAnsi"/>
          <w:sz w:val="22"/>
          <w:szCs w:val="22"/>
          <w:lang w:val="en-US"/>
        </w:rPr>
      </w:pPr>
      <w:r w:rsidRPr="00542DAD">
        <w:rPr>
          <w:rFonts w:asciiTheme="minorHAnsi" w:hAnsiTheme="minorHAnsi" w:cstheme="minorHAnsi"/>
          <w:lang w:val="en-US"/>
        </w:rPr>
        <w:t>The Department provides 1 PhD course, 10 Master and Bachelor Degrees in Electrical and Information Engineering, with numerous international Master and Bachelor Double Degrees with renowned international Universities. DEI collaborates with prestigious Universities/Research Centers and large companies/ SMEs in the world.</w:t>
      </w:r>
    </w:p>
    <w:sectPr w:rsidR="00975B32" w:rsidRPr="00542DAD" w:rsidSect="002F4D01">
      <w:headerReference w:type="default" r:id="rId9"/>
      <w:pgSz w:w="11906" w:h="16838"/>
      <w:pgMar w:top="2221"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F4" w:rsidRDefault="00C95CF4" w:rsidP="00542DAD">
      <w:r>
        <w:separator/>
      </w:r>
    </w:p>
  </w:endnote>
  <w:endnote w:type="continuationSeparator" w:id="0">
    <w:p w:rsidR="00C95CF4" w:rsidRDefault="00C95CF4" w:rsidP="0054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F4" w:rsidRDefault="00C95CF4" w:rsidP="00542DAD">
      <w:r>
        <w:separator/>
      </w:r>
    </w:p>
  </w:footnote>
  <w:footnote w:type="continuationSeparator" w:id="0">
    <w:p w:rsidR="00C95CF4" w:rsidRDefault="00C95CF4" w:rsidP="00542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01" w:rsidRDefault="002F4D01" w:rsidP="002F4D01">
    <w:pPr>
      <w:pStyle w:val="Intestazione"/>
      <w:tabs>
        <w:tab w:val="left" w:pos="1280"/>
        <w:tab w:val="center" w:pos="4678"/>
      </w:tabs>
      <w:rPr>
        <w:rFonts w:cs="Calibri"/>
        <w:noProof/>
        <w:color w:val="000000"/>
        <w:sz w:val="22"/>
        <w:szCs w:val="22"/>
      </w:rPr>
    </w:pPr>
    <w:r>
      <w:rPr>
        <w:noProof/>
      </w:rPr>
      <w:drawing>
        <wp:anchor distT="0" distB="0" distL="114300" distR="114300" simplePos="0" relativeHeight="251658240" behindDoc="1" locked="0" layoutInCell="1" allowOverlap="1" wp14:anchorId="6FE187C9" wp14:editId="3A231C49">
          <wp:simplePos x="0" y="0"/>
          <wp:positionH relativeFrom="column">
            <wp:posOffset>1864360</wp:posOffset>
          </wp:positionH>
          <wp:positionV relativeFrom="paragraph">
            <wp:posOffset>-240030</wp:posOffset>
          </wp:positionV>
          <wp:extent cx="1653540" cy="812165"/>
          <wp:effectExtent l="0" t="0" r="3810" b="6985"/>
          <wp:wrapNone/>
          <wp:docPr id="1" name="Immagine 1" descr="C:\Users\amm-p0277\Desktop\LOGO\Logo PoliBA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p0277\Desktop\LOGO\Logo PoliBA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3540" cy="8121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F4D01" w:rsidRDefault="002F4D01" w:rsidP="002F4D01">
    <w:pPr>
      <w:pStyle w:val="Intestazione"/>
      <w:tabs>
        <w:tab w:val="left" w:pos="1280"/>
        <w:tab w:val="center" w:pos="4678"/>
      </w:tabs>
      <w:rPr>
        <w:rFonts w:cs="Calibri"/>
        <w:noProof/>
        <w:color w:val="000000"/>
        <w:sz w:val="22"/>
        <w:szCs w:val="22"/>
      </w:rPr>
    </w:pPr>
  </w:p>
  <w:p w:rsidR="00542DAD" w:rsidRDefault="002F4D01" w:rsidP="002F4D01">
    <w:pPr>
      <w:pStyle w:val="Intestazione"/>
      <w:tabs>
        <w:tab w:val="left" w:pos="1280"/>
        <w:tab w:val="center" w:pos="4678"/>
      </w:tabs>
    </w:pPr>
    <w:r>
      <w:rPr>
        <w:rFonts w:cs="Calibri"/>
        <w:noProof/>
        <w:color w:val="000000"/>
        <w:sz w:val="22"/>
        <w:szCs w:val="22"/>
      </w:rPr>
      <w:drawing>
        <wp:anchor distT="0" distB="0" distL="114300" distR="114300" simplePos="0" relativeHeight="251659264" behindDoc="1" locked="0" layoutInCell="1" allowOverlap="1">
          <wp:simplePos x="0" y="0"/>
          <wp:positionH relativeFrom="column">
            <wp:posOffset>1680210</wp:posOffset>
          </wp:positionH>
          <wp:positionV relativeFrom="paragraph">
            <wp:posOffset>410210</wp:posOffset>
          </wp:positionV>
          <wp:extent cx="2197100" cy="492027"/>
          <wp:effectExtent l="0" t="0" r="0" b="3810"/>
          <wp:wrapNone/>
          <wp:docPr id="5" name="Immagine 5" descr="C:\Users\amm-p0277\Desktop\Settore Ricerca e TT\Obiettivi Settore\Obiettivo 2017\EN\download d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p0277\Desktop\Settore Ricerca e TT\Obiettivi Settore\Obiettivo 2017\EN\download de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7100" cy="49202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A17"/>
    <w:multiLevelType w:val="hybridMultilevel"/>
    <w:tmpl w:val="CD98C152"/>
    <w:lvl w:ilvl="0" w:tplc="E544057C">
      <w:start w:val="1"/>
      <w:numFmt w:val="bullet"/>
      <w:lvlText w:val=""/>
      <w:lvlJc w:val="left"/>
      <w:pPr>
        <w:tabs>
          <w:tab w:val="num" w:pos="720"/>
        </w:tabs>
        <w:ind w:left="720" w:hanging="360"/>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8707B0C"/>
    <w:multiLevelType w:val="hybridMultilevel"/>
    <w:tmpl w:val="89224BE2"/>
    <w:lvl w:ilvl="0" w:tplc="B6764B20">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2B6206C6"/>
    <w:multiLevelType w:val="hybridMultilevel"/>
    <w:tmpl w:val="F09EA6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4A32AE"/>
    <w:multiLevelType w:val="hybridMultilevel"/>
    <w:tmpl w:val="E65E5024"/>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3F3F0F02"/>
    <w:multiLevelType w:val="hybridMultilevel"/>
    <w:tmpl w:val="D6C621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E7EC0384">
      <w:numFmt w:val="bullet"/>
      <w:lvlText w:val="-"/>
      <w:lvlJc w:val="left"/>
      <w:pPr>
        <w:tabs>
          <w:tab w:val="num" w:pos="2160"/>
        </w:tabs>
        <w:ind w:left="2160" w:hanging="360"/>
      </w:pPr>
      <w:rPr>
        <w:rFonts w:ascii="Tahoma" w:eastAsia="Times New Roman" w:hAnsi="Tahoma"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86342E9"/>
    <w:multiLevelType w:val="hybridMultilevel"/>
    <w:tmpl w:val="29169CAE"/>
    <w:lvl w:ilvl="0" w:tplc="B6764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8"/>
    <w:rsid w:val="00037018"/>
    <w:rsid w:val="002E414C"/>
    <w:rsid w:val="002F4D01"/>
    <w:rsid w:val="003617B8"/>
    <w:rsid w:val="004D2026"/>
    <w:rsid w:val="00542DAD"/>
    <w:rsid w:val="00676E21"/>
    <w:rsid w:val="007F4E61"/>
    <w:rsid w:val="00916C54"/>
    <w:rsid w:val="00975B32"/>
    <w:rsid w:val="009D130F"/>
    <w:rsid w:val="00B36364"/>
    <w:rsid w:val="00C95CF4"/>
    <w:rsid w:val="00F621E8"/>
    <w:rsid w:val="00F6222F"/>
    <w:rsid w:val="00FD03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63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6364"/>
    <w:rPr>
      <w:color w:val="0000FF"/>
      <w:u w:val="single"/>
    </w:rPr>
  </w:style>
  <w:style w:type="character" w:styleId="Rimandocommento">
    <w:name w:val="annotation reference"/>
    <w:basedOn w:val="Carpredefinitoparagrafo"/>
    <w:uiPriority w:val="99"/>
    <w:semiHidden/>
    <w:unhideWhenUsed/>
    <w:rsid w:val="00B36364"/>
    <w:rPr>
      <w:sz w:val="16"/>
      <w:szCs w:val="16"/>
    </w:rPr>
  </w:style>
  <w:style w:type="paragraph" w:styleId="Testocommento">
    <w:name w:val="annotation text"/>
    <w:basedOn w:val="Normale"/>
    <w:link w:val="TestocommentoCarattere"/>
    <w:uiPriority w:val="99"/>
    <w:semiHidden/>
    <w:unhideWhenUsed/>
    <w:rsid w:val="00B36364"/>
    <w:rPr>
      <w:sz w:val="20"/>
      <w:szCs w:val="20"/>
    </w:rPr>
  </w:style>
  <w:style w:type="character" w:customStyle="1" w:styleId="TestocommentoCarattere">
    <w:name w:val="Testo commento Carattere"/>
    <w:basedOn w:val="Carpredefinitoparagrafo"/>
    <w:link w:val="Testocommento"/>
    <w:uiPriority w:val="99"/>
    <w:semiHidden/>
    <w:rsid w:val="00B363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36364"/>
    <w:rPr>
      <w:b/>
      <w:bCs/>
    </w:rPr>
  </w:style>
  <w:style w:type="character" w:customStyle="1" w:styleId="SoggettocommentoCarattere">
    <w:name w:val="Soggetto commento Carattere"/>
    <w:basedOn w:val="TestocommentoCarattere"/>
    <w:link w:val="Soggettocommento"/>
    <w:uiPriority w:val="99"/>
    <w:semiHidden/>
    <w:rsid w:val="00B3636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363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36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542DAD"/>
    <w:pPr>
      <w:tabs>
        <w:tab w:val="center" w:pos="4819"/>
        <w:tab w:val="right" w:pos="9638"/>
      </w:tabs>
    </w:pPr>
  </w:style>
  <w:style w:type="character" w:customStyle="1" w:styleId="IntestazioneCarattere">
    <w:name w:val="Intestazione Carattere"/>
    <w:basedOn w:val="Carpredefinitoparagrafo"/>
    <w:link w:val="Intestazione"/>
    <w:uiPriority w:val="99"/>
    <w:rsid w:val="00542DA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42DAD"/>
    <w:pPr>
      <w:tabs>
        <w:tab w:val="center" w:pos="4819"/>
        <w:tab w:val="right" w:pos="9638"/>
      </w:tabs>
    </w:pPr>
  </w:style>
  <w:style w:type="character" w:customStyle="1" w:styleId="PidipaginaCarattere">
    <w:name w:val="Piè di pagina Carattere"/>
    <w:basedOn w:val="Carpredefinitoparagrafo"/>
    <w:link w:val="Pidipagina"/>
    <w:uiPriority w:val="99"/>
    <w:rsid w:val="00542DAD"/>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42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63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6364"/>
    <w:rPr>
      <w:color w:val="0000FF"/>
      <w:u w:val="single"/>
    </w:rPr>
  </w:style>
  <w:style w:type="character" w:styleId="Rimandocommento">
    <w:name w:val="annotation reference"/>
    <w:basedOn w:val="Carpredefinitoparagrafo"/>
    <w:uiPriority w:val="99"/>
    <w:semiHidden/>
    <w:unhideWhenUsed/>
    <w:rsid w:val="00B36364"/>
    <w:rPr>
      <w:sz w:val="16"/>
      <w:szCs w:val="16"/>
    </w:rPr>
  </w:style>
  <w:style w:type="paragraph" w:styleId="Testocommento">
    <w:name w:val="annotation text"/>
    <w:basedOn w:val="Normale"/>
    <w:link w:val="TestocommentoCarattere"/>
    <w:uiPriority w:val="99"/>
    <w:semiHidden/>
    <w:unhideWhenUsed/>
    <w:rsid w:val="00B36364"/>
    <w:rPr>
      <w:sz w:val="20"/>
      <w:szCs w:val="20"/>
    </w:rPr>
  </w:style>
  <w:style w:type="character" w:customStyle="1" w:styleId="TestocommentoCarattere">
    <w:name w:val="Testo commento Carattere"/>
    <w:basedOn w:val="Carpredefinitoparagrafo"/>
    <w:link w:val="Testocommento"/>
    <w:uiPriority w:val="99"/>
    <w:semiHidden/>
    <w:rsid w:val="00B363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36364"/>
    <w:rPr>
      <w:b/>
      <w:bCs/>
    </w:rPr>
  </w:style>
  <w:style w:type="character" w:customStyle="1" w:styleId="SoggettocommentoCarattere">
    <w:name w:val="Soggetto commento Carattere"/>
    <w:basedOn w:val="TestocommentoCarattere"/>
    <w:link w:val="Soggettocommento"/>
    <w:uiPriority w:val="99"/>
    <w:semiHidden/>
    <w:rsid w:val="00B3636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363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36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542DAD"/>
    <w:pPr>
      <w:tabs>
        <w:tab w:val="center" w:pos="4819"/>
        <w:tab w:val="right" w:pos="9638"/>
      </w:tabs>
    </w:pPr>
  </w:style>
  <w:style w:type="character" w:customStyle="1" w:styleId="IntestazioneCarattere">
    <w:name w:val="Intestazione Carattere"/>
    <w:basedOn w:val="Carpredefinitoparagrafo"/>
    <w:link w:val="Intestazione"/>
    <w:uiPriority w:val="99"/>
    <w:rsid w:val="00542DA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42DAD"/>
    <w:pPr>
      <w:tabs>
        <w:tab w:val="center" w:pos="4819"/>
        <w:tab w:val="right" w:pos="9638"/>
      </w:tabs>
    </w:pPr>
  </w:style>
  <w:style w:type="character" w:customStyle="1" w:styleId="PidipaginaCarattere">
    <w:name w:val="Piè di pagina Carattere"/>
    <w:basedOn w:val="Carpredefinitoparagrafo"/>
    <w:link w:val="Pidipagina"/>
    <w:uiPriority w:val="99"/>
    <w:rsid w:val="00542DAD"/>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42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7EF8-2A90-479C-BB7B-9306F790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165</Words>
  <Characters>943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amm-p0277</dc:creator>
  <cp:keywords/>
  <dc:description/>
  <cp:lastModifiedBy>Poliba</cp:lastModifiedBy>
  <cp:revision>14</cp:revision>
  <dcterms:created xsi:type="dcterms:W3CDTF">2017-11-24T11:25:00Z</dcterms:created>
  <dcterms:modified xsi:type="dcterms:W3CDTF">2020-01-16T11:04:00Z</dcterms:modified>
</cp:coreProperties>
</file>