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2410"/>
        <w:gridCol w:w="2976"/>
      </w:tblGrid>
      <w:tr w:rsidR="00D465ED" w:rsidRPr="008C4829">
        <w:trPr>
          <w:jc w:val="center"/>
        </w:trPr>
        <w:tc>
          <w:tcPr>
            <w:tcW w:w="3969" w:type="dxa"/>
            <w:tcBorders>
              <w:top w:val="nil"/>
              <w:left w:val="nil"/>
              <w:bottom w:val="nil"/>
              <w:right w:val="nil"/>
            </w:tcBorders>
            <w:vAlign w:val="center"/>
          </w:tcPr>
          <w:p w:rsidR="00D465ED" w:rsidRPr="008C4829" w:rsidRDefault="00D465ED" w:rsidP="00B5118A">
            <w:pPr>
              <w:pStyle w:val="Pidipagina"/>
              <w:tabs>
                <w:tab w:val="clear" w:pos="4819"/>
                <w:tab w:val="clear" w:pos="9638"/>
                <w:tab w:val="left" w:pos="4536"/>
              </w:tabs>
              <w:jc w:val="both"/>
              <w:rPr>
                <w:i/>
                <w:color w:val="548DD4" w:themeColor="text2" w:themeTint="99"/>
                <w:sz w:val="22"/>
                <w:szCs w:val="22"/>
              </w:rPr>
            </w:pPr>
            <w:bookmarkStart w:id="0" w:name="_GoBack"/>
            <w:bookmarkEnd w:id="0"/>
          </w:p>
        </w:tc>
        <w:tc>
          <w:tcPr>
            <w:tcW w:w="2410" w:type="dxa"/>
            <w:tcBorders>
              <w:top w:val="nil"/>
              <w:left w:val="nil"/>
              <w:bottom w:val="nil"/>
              <w:right w:val="nil"/>
            </w:tcBorders>
          </w:tcPr>
          <w:p w:rsidR="00D465ED" w:rsidRPr="008C4829" w:rsidRDefault="00D465ED" w:rsidP="00B5118A">
            <w:pPr>
              <w:tabs>
                <w:tab w:val="left" w:pos="4536"/>
              </w:tabs>
              <w:jc w:val="both"/>
              <w:rPr>
                <w:i/>
                <w:color w:val="548DD4" w:themeColor="text2" w:themeTint="99"/>
                <w:sz w:val="16"/>
              </w:rPr>
            </w:pPr>
          </w:p>
        </w:tc>
        <w:tc>
          <w:tcPr>
            <w:tcW w:w="2976" w:type="dxa"/>
            <w:tcBorders>
              <w:top w:val="nil"/>
              <w:left w:val="nil"/>
              <w:bottom w:val="nil"/>
              <w:right w:val="nil"/>
            </w:tcBorders>
            <w:vAlign w:val="bottom"/>
          </w:tcPr>
          <w:p w:rsidR="00D465ED" w:rsidRPr="008C4829" w:rsidRDefault="00D465ED" w:rsidP="00B5118A">
            <w:pPr>
              <w:tabs>
                <w:tab w:val="left" w:pos="4536"/>
              </w:tabs>
              <w:jc w:val="both"/>
              <w:rPr>
                <w:i/>
                <w:color w:val="548DD4" w:themeColor="text2" w:themeTint="99"/>
                <w:sz w:val="16"/>
              </w:rPr>
            </w:pPr>
          </w:p>
        </w:tc>
      </w:tr>
    </w:tbl>
    <w:p w:rsidR="00812A26" w:rsidRPr="008C4829" w:rsidRDefault="00812A26" w:rsidP="00E22041">
      <w:pPr>
        <w:jc w:val="both"/>
        <w:rPr>
          <w:color w:val="548DD4" w:themeColor="text2" w:themeTint="99"/>
        </w:rPr>
      </w:pPr>
    </w:p>
    <w:p w:rsidR="00E22041" w:rsidRPr="008C4829" w:rsidRDefault="00E22041" w:rsidP="00E22041">
      <w:pPr>
        <w:jc w:val="both"/>
        <w:rPr>
          <w:color w:val="548DD4" w:themeColor="text2" w:themeTint="99"/>
        </w:rPr>
      </w:pPr>
    </w:p>
    <w:p w:rsidR="00E22041" w:rsidRPr="008C4829" w:rsidRDefault="00E22041" w:rsidP="00E22041">
      <w:pPr>
        <w:jc w:val="both"/>
        <w:rPr>
          <w:color w:val="548DD4" w:themeColor="text2" w:themeTint="99"/>
        </w:rPr>
      </w:pPr>
    </w:p>
    <w:p w:rsidR="00E22041" w:rsidRPr="008C4829" w:rsidRDefault="00E22041" w:rsidP="00E22041">
      <w:pPr>
        <w:jc w:val="both"/>
        <w:rPr>
          <w:color w:val="548DD4" w:themeColor="text2" w:themeTint="99"/>
        </w:rPr>
      </w:pPr>
    </w:p>
    <w:p w:rsidR="007A7C10" w:rsidRDefault="008C4829" w:rsidP="00E07BF6">
      <w:pPr>
        <w:jc w:val="center"/>
        <w:rPr>
          <w:b/>
          <w:sz w:val="36"/>
          <w:szCs w:val="36"/>
        </w:rPr>
      </w:pPr>
      <w:r w:rsidRPr="008C4829">
        <w:rPr>
          <w:b/>
          <w:sz w:val="36"/>
          <w:szCs w:val="36"/>
        </w:rPr>
        <w:t>Budget d’Ateneo 2017</w:t>
      </w:r>
    </w:p>
    <w:p w:rsidR="00E22041" w:rsidRPr="008C4829" w:rsidRDefault="00F73F62" w:rsidP="00E07BF6">
      <w:pPr>
        <w:jc w:val="center"/>
        <w:rPr>
          <w:b/>
          <w:sz w:val="36"/>
          <w:szCs w:val="36"/>
        </w:rPr>
      </w:pPr>
      <w:r>
        <w:rPr>
          <w:b/>
          <w:sz w:val="36"/>
          <w:szCs w:val="36"/>
        </w:rPr>
        <w:t xml:space="preserve"> </w:t>
      </w:r>
      <w:r w:rsidR="007A7C10">
        <w:rPr>
          <w:b/>
          <w:sz w:val="36"/>
          <w:szCs w:val="36"/>
        </w:rPr>
        <w:t>e previsione triennale 2017-2019</w:t>
      </w:r>
    </w:p>
    <w:p w:rsidR="00E22041" w:rsidRPr="008C4829" w:rsidRDefault="00E22041" w:rsidP="00E07BF6">
      <w:pPr>
        <w:jc w:val="center"/>
        <w:rPr>
          <w:sz w:val="36"/>
          <w:szCs w:val="36"/>
        </w:rPr>
      </w:pPr>
    </w:p>
    <w:p w:rsidR="00E22041" w:rsidRPr="008C4829" w:rsidRDefault="008175AD" w:rsidP="00E07BF6">
      <w:pPr>
        <w:jc w:val="center"/>
        <w:rPr>
          <w:sz w:val="36"/>
          <w:szCs w:val="36"/>
        </w:rPr>
      </w:pPr>
      <w:r w:rsidRPr="008C4829">
        <w:rPr>
          <w:sz w:val="36"/>
          <w:szCs w:val="36"/>
        </w:rPr>
        <w:t>Nota</w:t>
      </w:r>
      <w:r w:rsidR="00E22041" w:rsidRPr="008C4829">
        <w:rPr>
          <w:sz w:val="36"/>
          <w:szCs w:val="36"/>
        </w:rPr>
        <w:t xml:space="preserve"> Illustrativa</w:t>
      </w:r>
    </w:p>
    <w:p w:rsidR="00E07BF6" w:rsidRPr="008C4829" w:rsidRDefault="00E07BF6" w:rsidP="00E07BF6">
      <w:pPr>
        <w:jc w:val="center"/>
        <w:rPr>
          <w:color w:val="548DD4" w:themeColor="text2" w:themeTint="99"/>
          <w:sz w:val="36"/>
          <w:szCs w:val="36"/>
        </w:rPr>
      </w:pPr>
    </w:p>
    <w:p w:rsidR="00E07BF6" w:rsidRPr="008C4829" w:rsidRDefault="00E07BF6" w:rsidP="00E07BF6">
      <w:pPr>
        <w:jc w:val="center"/>
        <w:rPr>
          <w:color w:val="548DD4" w:themeColor="text2" w:themeTint="99"/>
          <w:sz w:val="36"/>
          <w:szCs w:val="36"/>
        </w:rPr>
      </w:pPr>
    </w:p>
    <w:p w:rsidR="00E07BF6" w:rsidRPr="008C4829" w:rsidRDefault="00E07BF6" w:rsidP="00E07BF6">
      <w:pPr>
        <w:jc w:val="center"/>
        <w:rPr>
          <w:color w:val="548DD4" w:themeColor="text2" w:themeTint="99"/>
          <w:sz w:val="36"/>
          <w:szCs w:val="36"/>
        </w:rPr>
      </w:pPr>
    </w:p>
    <w:p w:rsidR="00E14E65" w:rsidRDefault="00E14E65">
      <w:r>
        <w:br w:type="page"/>
      </w:r>
    </w:p>
    <w:p w:rsidR="00E07BF6" w:rsidRPr="008C4829" w:rsidRDefault="00E07BF6" w:rsidP="00E14E65"/>
    <w:p w:rsidR="00E07BF6" w:rsidRPr="008C4829" w:rsidRDefault="00E07BF6" w:rsidP="00E07BF6">
      <w:pPr>
        <w:jc w:val="center"/>
        <w:rPr>
          <w:color w:val="548DD4" w:themeColor="text2" w:themeTint="99"/>
          <w:sz w:val="36"/>
          <w:szCs w:val="36"/>
        </w:rPr>
      </w:pPr>
    </w:p>
    <w:sdt>
      <w:sdtPr>
        <w:rPr>
          <w:rFonts w:ascii="Times New Roman" w:eastAsia="Times New Roman" w:hAnsi="Times New Roman" w:cs="Times New Roman"/>
          <w:color w:val="auto"/>
          <w:sz w:val="20"/>
          <w:szCs w:val="20"/>
        </w:rPr>
        <w:id w:val="-123624769"/>
        <w:docPartObj>
          <w:docPartGallery w:val="Table of Contents"/>
          <w:docPartUnique/>
        </w:docPartObj>
      </w:sdtPr>
      <w:sdtEndPr>
        <w:rPr>
          <w:b/>
          <w:bCs/>
        </w:rPr>
      </w:sdtEndPr>
      <w:sdtContent>
        <w:p w:rsidR="00076C41" w:rsidRDefault="00076C41">
          <w:pPr>
            <w:pStyle w:val="Titolosommario"/>
          </w:pPr>
          <w:r>
            <w:t>Sommario</w:t>
          </w:r>
        </w:p>
        <w:p w:rsidR="00076C41" w:rsidRDefault="00076C41">
          <w:pPr>
            <w:pStyle w:val="Sommario1"/>
            <w:tabs>
              <w:tab w:val="right" w:leader="dot" w:pos="9629"/>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9659509" w:history="1">
            <w:r w:rsidRPr="00073FDF">
              <w:rPr>
                <w:rStyle w:val="Collegamentoipertestuale"/>
                <w:b/>
                <w:noProof/>
              </w:rPr>
              <w:t>1.INTRODUZIONE</w:t>
            </w:r>
            <w:r>
              <w:rPr>
                <w:noProof/>
                <w:webHidden/>
              </w:rPr>
              <w:tab/>
            </w:r>
            <w:r>
              <w:rPr>
                <w:noProof/>
                <w:webHidden/>
              </w:rPr>
              <w:fldChar w:fldCharType="begin"/>
            </w:r>
            <w:r>
              <w:rPr>
                <w:noProof/>
                <w:webHidden/>
              </w:rPr>
              <w:instrText xml:space="preserve"> PAGEREF _Toc469659509 \h </w:instrText>
            </w:r>
            <w:r>
              <w:rPr>
                <w:noProof/>
                <w:webHidden/>
              </w:rPr>
            </w:r>
            <w:r>
              <w:rPr>
                <w:noProof/>
                <w:webHidden/>
              </w:rPr>
              <w:fldChar w:fldCharType="separate"/>
            </w:r>
            <w:r>
              <w:rPr>
                <w:noProof/>
                <w:webHidden/>
              </w:rPr>
              <w:t>2</w:t>
            </w:r>
            <w:r>
              <w:rPr>
                <w:noProof/>
                <w:webHidden/>
              </w:rPr>
              <w:fldChar w:fldCharType="end"/>
            </w:r>
          </w:hyperlink>
        </w:p>
        <w:p w:rsidR="00076C41" w:rsidRDefault="00DC5181">
          <w:pPr>
            <w:pStyle w:val="Sommario1"/>
            <w:tabs>
              <w:tab w:val="right" w:leader="dot" w:pos="9629"/>
            </w:tabs>
            <w:rPr>
              <w:rFonts w:asciiTheme="minorHAnsi" w:eastAsiaTheme="minorEastAsia" w:hAnsiTheme="minorHAnsi" w:cstheme="minorBidi"/>
              <w:noProof/>
              <w:sz w:val="22"/>
              <w:szCs w:val="22"/>
            </w:rPr>
          </w:pPr>
          <w:hyperlink w:anchor="_Toc469659510" w:history="1">
            <w:r w:rsidR="00076C41" w:rsidRPr="00073FDF">
              <w:rPr>
                <w:rStyle w:val="Collegamentoipertestuale"/>
                <w:b/>
                <w:noProof/>
              </w:rPr>
              <w:t>2.BUDGET ECONOMICO</w:t>
            </w:r>
            <w:r w:rsidR="00076C41">
              <w:rPr>
                <w:noProof/>
                <w:webHidden/>
              </w:rPr>
              <w:tab/>
            </w:r>
            <w:r w:rsidR="00076C41">
              <w:rPr>
                <w:noProof/>
                <w:webHidden/>
              </w:rPr>
              <w:fldChar w:fldCharType="begin"/>
            </w:r>
            <w:r w:rsidR="00076C41">
              <w:rPr>
                <w:noProof/>
                <w:webHidden/>
              </w:rPr>
              <w:instrText xml:space="preserve"> PAGEREF _Toc469659510 \h </w:instrText>
            </w:r>
            <w:r w:rsidR="00076C41">
              <w:rPr>
                <w:noProof/>
                <w:webHidden/>
              </w:rPr>
            </w:r>
            <w:r w:rsidR="00076C41">
              <w:rPr>
                <w:noProof/>
                <w:webHidden/>
              </w:rPr>
              <w:fldChar w:fldCharType="separate"/>
            </w:r>
            <w:r w:rsidR="00076C41">
              <w:rPr>
                <w:noProof/>
                <w:webHidden/>
              </w:rPr>
              <w:t>4</w:t>
            </w:r>
            <w:r w:rsidR="00076C41">
              <w:rPr>
                <w:noProof/>
                <w:webHidden/>
              </w:rPr>
              <w:fldChar w:fldCharType="end"/>
            </w:r>
          </w:hyperlink>
        </w:p>
        <w:p w:rsidR="00076C41" w:rsidRDefault="00DC5181">
          <w:pPr>
            <w:pStyle w:val="Sommario2"/>
            <w:tabs>
              <w:tab w:val="right" w:leader="dot" w:pos="9629"/>
            </w:tabs>
            <w:rPr>
              <w:noProof/>
            </w:rPr>
          </w:pPr>
          <w:hyperlink w:anchor="_Toc469659511" w:history="1">
            <w:r w:rsidR="00076C41" w:rsidRPr="00073FDF">
              <w:rPr>
                <w:rStyle w:val="Collegamentoipertestuale"/>
                <w:i/>
                <w:noProof/>
              </w:rPr>
              <w:t>2.1 Ricavi</w:t>
            </w:r>
            <w:r w:rsidR="00076C41">
              <w:rPr>
                <w:noProof/>
                <w:webHidden/>
              </w:rPr>
              <w:tab/>
            </w:r>
            <w:r w:rsidR="00076C41">
              <w:rPr>
                <w:noProof/>
                <w:webHidden/>
              </w:rPr>
              <w:fldChar w:fldCharType="begin"/>
            </w:r>
            <w:r w:rsidR="00076C41">
              <w:rPr>
                <w:noProof/>
                <w:webHidden/>
              </w:rPr>
              <w:instrText xml:space="preserve"> PAGEREF _Toc469659511 \h </w:instrText>
            </w:r>
            <w:r w:rsidR="00076C41">
              <w:rPr>
                <w:noProof/>
                <w:webHidden/>
              </w:rPr>
            </w:r>
            <w:r w:rsidR="00076C41">
              <w:rPr>
                <w:noProof/>
                <w:webHidden/>
              </w:rPr>
              <w:fldChar w:fldCharType="separate"/>
            </w:r>
            <w:r w:rsidR="00076C41">
              <w:rPr>
                <w:noProof/>
                <w:webHidden/>
              </w:rPr>
              <w:t>5</w:t>
            </w:r>
            <w:r w:rsidR="00076C41">
              <w:rPr>
                <w:noProof/>
                <w:webHidden/>
              </w:rPr>
              <w:fldChar w:fldCharType="end"/>
            </w:r>
          </w:hyperlink>
        </w:p>
        <w:p w:rsidR="00076C41" w:rsidRDefault="00DC5181">
          <w:pPr>
            <w:pStyle w:val="Sommario3"/>
            <w:tabs>
              <w:tab w:val="right" w:leader="dot" w:pos="9629"/>
            </w:tabs>
            <w:rPr>
              <w:noProof/>
            </w:rPr>
          </w:pPr>
          <w:hyperlink w:anchor="_Toc469659512" w:history="1">
            <w:r w:rsidR="00076C41" w:rsidRPr="00073FDF">
              <w:rPr>
                <w:rStyle w:val="Collegamentoipertestuale"/>
                <w:i/>
                <w:noProof/>
              </w:rPr>
              <w:t>2.1.1 Fondo per il Finanziamento Ordinario</w:t>
            </w:r>
            <w:r w:rsidR="00076C41">
              <w:rPr>
                <w:noProof/>
                <w:webHidden/>
              </w:rPr>
              <w:tab/>
            </w:r>
            <w:r w:rsidR="00076C41">
              <w:rPr>
                <w:noProof/>
                <w:webHidden/>
              </w:rPr>
              <w:fldChar w:fldCharType="begin"/>
            </w:r>
            <w:r w:rsidR="00076C41">
              <w:rPr>
                <w:noProof/>
                <w:webHidden/>
              </w:rPr>
              <w:instrText xml:space="preserve"> PAGEREF _Toc469659512 \h </w:instrText>
            </w:r>
            <w:r w:rsidR="00076C41">
              <w:rPr>
                <w:noProof/>
                <w:webHidden/>
              </w:rPr>
            </w:r>
            <w:r w:rsidR="00076C41">
              <w:rPr>
                <w:noProof/>
                <w:webHidden/>
              </w:rPr>
              <w:fldChar w:fldCharType="separate"/>
            </w:r>
            <w:r w:rsidR="00076C41">
              <w:rPr>
                <w:noProof/>
                <w:webHidden/>
              </w:rPr>
              <w:t>5</w:t>
            </w:r>
            <w:r w:rsidR="00076C41">
              <w:rPr>
                <w:noProof/>
                <w:webHidden/>
              </w:rPr>
              <w:fldChar w:fldCharType="end"/>
            </w:r>
          </w:hyperlink>
        </w:p>
        <w:p w:rsidR="00076C41" w:rsidRDefault="00DC5181">
          <w:pPr>
            <w:pStyle w:val="Sommario3"/>
            <w:tabs>
              <w:tab w:val="right" w:leader="dot" w:pos="9629"/>
            </w:tabs>
            <w:rPr>
              <w:noProof/>
            </w:rPr>
          </w:pPr>
          <w:hyperlink w:anchor="_Toc469659513" w:history="1">
            <w:r w:rsidR="00076C41" w:rsidRPr="00073FDF">
              <w:rPr>
                <w:rStyle w:val="Collegamentoipertestuale"/>
                <w:i/>
                <w:noProof/>
              </w:rPr>
              <w:t>2.1.2 Contribuzione studentesca e altri ricavi di natura contributiva</w:t>
            </w:r>
            <w:r w:rsidR="00076C41">
              <w:rPr>
                <w:noProof/>
                <w:webHidden/>
              </w:rPr>
              <w:tab/>
            </w:r>
            <w:r w:rsidR="00076C41">
              <w:rPr>
                <w:noProof/>
                <w:webHidden/>
              </w:rPr>
              <w:fldChar w:fldCharType="begin"/>
            </w:r>
            <w:r w:rsidR="00076C41">
              <w:rPr>
                <w:noProof/>
                <w:webHidden/>
              </w:rPr>
              <w:instrText xml:space="preserve"> PAGEREF _Toc469659513 \h </w:instrText>
            </w:r>
            <w:r w:rsidR="00076C41">
              <w:rPr>
                <w:noProof/>
                <w:webHidden/>
              </w:rPr>
            </w:r>
            <w:r w:rsidR="00076C41">
              <w:rPr>
                <w:noProof/>
                <w:webHidden/>
              </w:rPr>
              <w:fldChar w:fldCharType="separate"/>
            </w:r>
            <w:r w:rsidR="00076C41">
              <w:rPr>
                <w:noProof/>
                <w:webHidden/>
              </w:rPr>
              <w:t>7</w:t>
            </w:r>
            <w:r w:rsidR="00076C41">
              <w:rPr>
                <w:noProof/>
                <w:webHidden/>
              </w:rPr>
              <w:fldChar w:fldCharType="end"/>
            </w:r>
          </w:hyperlink>
        </w:p>
        <w:p w:rsidR="00076C41" w:rsidRDefault="00DC5181">
          <w:pPr>
            <w:pStyle w:val="Sommario3"/>
            <w:tabs>
              <w:tab w:val="right" w:leader="dot" w:pos="9629"/>
            </w:tabs>
            <w:rPr>
              <w:noProof/>
            </w:rPr>
          </w:pPr>
          <w:hyperlink w:anchor="_Toc469659514" w:history="1">
            <w:r w:rsidR="00076C41" w:rsidRPr="00073FDF">
              <w:rPr>
                <w:rStyle w:val="Collegamentoipertestuale"/>
                <w:i/>
                <w:noProof/>
              </w:rPr>
              <w:t>2.1.3 Programmazione triennale ministeriale 2016-2018</w:t>
            </w:r>
            <w:r w:rsidR="00076C41">
              <w:rPr>
                <w:noProof/>
                <w:webHidden/>
              </w:rPr>
              <w:tab/>
            </w:r>
            <w:r w:rsidR="00076C41">
              <w:rPr>
                <w:noProof/>
                <w:webHidden/>
              </w:rPr>
              <w:fldChar w:fldCharType="begin"/>
            </w:r>
            <w:r w:rsidR="00076C41">
              <w:rPr>
                <w:noProof/>
                <w:webHidden/>
              </w:rPr>
              <w:instrText xml:space="preserve"> PAGEREF _Toc469659514 \h </w:instrText>
            </w:r>
            <w:r w:rsidR="00076C41">
              <w:rPr>
                <w:noProof/>
                <w:webHidden/>
              </w:rPr>
            </w:r>
            <w:r w:rsidR="00076C41">
              <w:rPr>
                <w:noProof/>
                <w:webHidden/>
              </w:rPr>
              <w:fldChar w:fldCharType="separate"/>
            </w:r>
            <w:r w:rsidR="00076C41">
              <w:rPr>
                <w:noProof/>
                <w:webHidden/>
              </w:rPr>
              <w:t>8</w:t>
            </w:r>
            <w:r w:rsidR="00076C41">
              <w:rPr>
                <w:noProof/>
                <w:webHidden/>
              </w:rPr>
              <w:fldChar w:fldCharType="end"/>
            </w:r>
          </w:hyperlink>
        </w:p>
        <w:p w:rsidR="00076C41" w:rsidRDefault="00DC5181">
          <w:pPr>
            <w:pStyle w:val="Sommario3"/>
            <w:tabs>
              <w:tab w:val="right" w:leader="dot" w:pos="9629"/>
            </w:tabs>
            <w:rPr>
              <w:noProof/>
            </w:rPr>
          </w:pPr>
          <w:hyperlink w:anchor="_Toc469659515" w:history="1">
            <w:r w:rsidR="00076C41" w:rsidRPr="00073FDF">
              <w:rPr>
                <w:rStyle w:val="Collegamentoipertestuale"/>
                <w:i/>
                <w:noProof/>
              </w:rPr>
              <w:t>2.1.4 Ricavi finalizzati derivanti da finanziamenti di soggetti terzi</w:t>
            </w:r>
            <w:r w:rsidR="00076C41">
              <w:rPr>
                <w:noProof/>
                <w:webHidden/>
              </w:rPr>
              <w:tab/>
            </w:r>
            <w:r w:rsidR="00076C41">
              <w:rPr>
                <w:noProof/>
                <w:webHidden/>
              </w:rPr>
              <w:fldChar w:fldCharType="begin"/>
            </w:r>
            <w:r w:rsidR="00076C41">
              <w:rPr>
                <w:noProof/>
                <w:webHidden/>
              </w:rPr>
              <w:instrText xml:space="preserve"> PAGEREF _Toc469659515 \h </w:instrText>
            </w:r>
            <w:r w:rsidR="00076C41">
              <w:rPr>
                <w:noProof/>
                <w:webHidden/>
              </w:rPr>
            </w:r>
            <w:r w:rsidR="00076C41">
              <w:rPr>
                <w:noProof/>
                <w:webHidden/>
              </w:rPr>
              <w:fldChar w:fldCharType="separate"/>
            </w:r>
            <w:r w:rsidR="00076C41">
              <w:rPr>
                <w:noProof/>
                <w:webHidden/>
              </w:rPr>
              <w:t>11</w:t>
            </w:r>
            <w:r w:rsidR="00076C41">
              <w:rPr>
                <w:noProof/>
                <w:webHidden/>
              </w:rPr>
              <w:fldChar w:fldCharType="end"/>
            </w:r>
          </w:hyperlink>
        </w:p>
        <w:p w:rsidR="00076C41" w:rsidRDefault="00DC5181">
          <w:pPr>
            <w:pStyle w:val="Sommario3"/>
            <w:tabs>
              <w:tab w:val="right" w:leader="dot" w:pos="9629"/>
            </w:tabs>
            <w:rPr>
              <w:noProof/>
            </w:rPr>
          </w:pPr>
          <w:hyperlink w:anchor="_Toc469659516" w:history="1">
            <w:r w:rsidR="00076C41" w:rsidRPr="00073FDF">
              <w:rPr>
                <w:rStyle w:val="Collegamentoipertestuale"/>
                <w:i/>
                <w:noProof/>
              </w:rPr>
              <w:t>2.1.5 Risorse progettuali da impiegare nel triennio 2017-2019</w:t>
            </w:r>
            <w:r w:rsidR="00076C41">
              <w:rPr>
                <w:noProof/>
                <w:webHidden/>
              </w:rPr>
              <w:tab/>
            </w:r>
            <w:r w:rsidR="00076C41">
              <w:rPr>
                <w:noProof/>
                <w:webHidden/>
              </w:rPr>
              <w:fldChar w:fldCharType="begin"/>
            </w:r>
            <w:r w:rsidR="00076C41">
              <w:rPr>
                <w:noProof/>
                <w:webHidden/>
              </w:rPr>
              <w:instrText xml:space="preserve"> PAGEREF _Toc469659516 \h </w:instrText>
            </w:r>
            <w:r w:rsidR="00076C41">
              <w:rPr>
                <w:noProof/>
                <w:webHidden/>
              </w:rPr>
            </w:r>
            <w:r w:rsidR="00076C41">
              <w:rPr>
                <w:noProof/>
                <w:webHidden/>
              </w:rPr>
              <w:fldChar w:fldCharType="separate"/>
            </w:r>
            <w:r w:rsidR="00076C41">
              <w:rPr>
                <w:noProof/>
                <w:webHidden/>
              </w:rPr>
              <w:t>12</w:t>
            </w:r>
            <w:r w:rsidR="00076C41">
              <w:rPr>
                <w:noProof/>
                <w:webHidden/>
              </w:rPr>
              <w:fldChar w:fldCharType="end"/>
            </w:r>
          </w:hyperlink>
        </w:p>
        <w:p w:rsidR="00076C41" w:rsidRDefault="00DC5181">
          <w:pPr>
            <w:pStyle w:val="Sommario3"/>
            <w:tabs>
              <w:tab w:val="right" w:leader="dot" w:pos="9629"/>
            </w:tabs>
            <w:rPr>
              <w:noProof/>
            </w:rPr>
          </w:pPr>
          <w:hyperlink w:anchor="_Toc469659517" w:history="1">
            <w:r w:rsidR="00076C41" w:rsidRPr="00073FDF">
              <w:rPr>
                <w:rStyle w:val="Collegamentoipertestuale"/>
                <w:i/>
                <w:noProof/>
              </w:rPr>
              <w:t>2.1.6 Ricavi derivanti da sterilizzazioni di ammortamenti</w:t>
            </w:r>
            <w:r w:rsidR="00076C41">
              <w:rPr>
                <w:noProof/>
                <w:webHidden/>
              </w:rPr>
              <w:tab/>
            </w:r>
            <w:r w:rsidR="00076C41">
              <w:rPr>
                <w:noProof/>
                <w:webHidden/>
              </w:rPr>
              <w:fldChar w:fldCharType="begin"/>
            </w:r>
            <w:r w:rsidR="00076C41">
              <w:rPr>
                <w:noProof/>
                <w:webHidden/>
              </w:rPr>
              <w:instrText xml:space="preserve"> PAGEREF _Toc469659517 \h </w:instrText>
            </w:r>
            <w:r w:rsidR="00076C41">
              <w:rPr>
                <w:noProof/>
                <w:webHidden/>
              </w:rPr>
            </w:r>
            <w:r w:rsidR="00076C41">
              <w:rPr>
                <w:noProof/>
                <w:webHidden/>
              </w:rPr>
              <w:fldChar w:fldCharType="separate"/>
            </w:r>
            <w:r w:rsidR="00076C41">
              <w:rPr>
                <w:noProof/>
                <w:webHidden/>
              </w:rPr>
              <w:t>13</w:t>
            </w:r>
            <w:r w:rsidR="00076C41">
              <w:rPr>
                <w:noProof/>
                <w:webHidden/>
              </w:rPr>
              <w:fldChar w:fldCharType="end"/>
            </w:r>
          </w:hyperlink>
        </w:p>
        <w:p w:rsidR="00076C41" w:rsidRDefault="00DC5181">
          <w:pPr>
            <w:pStyle w:val="Sommario2"/>
            <w:tabs>
              <w:tab w:val="right" w:leader="dot" w:pos="9629"/>
            </w:tabs>
            <w:rPr>
              <w:noProof/>
            </w:rPr>
          </w:pPr>
          <w:hyperlink w:anchor="_Toc469659518" w:history="1">
            <w:r w:rsidR="00076C41" w:rsidRPr="00073FDF">
              <w:rPr>
                <w:rStyle w:val="Collegamentoipertestuale"/>
                <w:i/>
                <w:noProof/>
              </w:rPr>
              <w:t>2.2 Costi</w:t>
            </w:r>
            <w:r w:rsidR="00076C41">
              <w:rPr>
                <w:noProof/>
                <w:webHidden/>
              </w:rPr>
              <w:tab/>
            </w:r>
            <w:r w:rsidR="00076C41">
              <w:rPr>
                <w:noProof/>
                <w:webHidden/>
              </w:rPr>
              <w:fldChar w:fldCharType="begin"/>
            </w:r>
            <w:r w:rsidR="00076C41">
              <w:rPr>
                <w:noProof/>
                <w:webHidden/>
              </w:rPr>
              <w:instrText xml:space="preserve"> PAGEREF _Toc469659518 \h </w:instrText>
            </w:r>
            <w:r w:rsidR="00076C41">
              <w:rPr>
                <w:noProof/>
                <w:webHidden/>
              </w:rPr>
            </w:r>
            <w:r w:rsidR="00076C41">
              <w:rPr>
                <w:noProof/>
                <w:webHidden/>
              </w:rPr>
              <w:fldChar w:fldCharType="separate"/>
            </w:r>
            <w:r w:rsidR="00076C41">
              <w:rPr>
                <w:noProof/>
                <w:webHidden/>
              </w:rPr>
              <w:t>14</w:t>
            </w:r>
            <w:r w:rsidR="00076C41">
              <w:rPr>
                <w:noProof/>
                <w:webHidden/>
              </w:rPr>
              <w:fldChar w:fldCharType="end"/>
            </w:r>
          </w:hyperlink>
        </w:p>
        <w:p w:rsidR="00076C41" w:rsidRDefault="00DC5181">
          <w:pPr>
            <w:pStyle w:val="Sommario3"/>
            <w:tabs>
              <w:tab w:val="right" w:leader="dot" w:pos="9629"/>
            </w:tabs>
            <w:rPr>
              <w:noProof/>
            </w:rPr>
          </w:pPr>
          <w:hyperlink w:anchor="_Toc469659519" w:history="1">
            <w:r w:rsidR="00076C41" w:rsidRPr="00073FDF">
              <w:rPr>
                <w:rStyle w:val="Collegamentoipertestuale"/>
                <w:i/>
                <w:noProof/>
              </w:rPr>
              <w:t>2.2.1 Costi del personale</w:t>
            </w:r>
            <w:r w:rsidR="00076C41">
              <w:rPr>
                <w:noProof/>
                <w:webHidden/>
              </w:rPr>
              <w:tab/>
            </w:r>
            <w:r w:rsidR="00076C41">
              <w:rPr>
                <w:noProof/>
                <w:webHidden/>
              </w:rPr>
              <w:fldChar w:fldCharType="begin"/>
            </w:r>
            <w:r w:rsidR="00076C41">
              <w:rPr>
                <w:noProof/>
                <w:webHidden/>
              </w:rPr>
              <w:instrText xml:space="preserve"> PAGEREF _Toc469659519 \h </w:instrText>
            </w:r>
            <w:r w:rsidR="00076C41">
              <w:rPr>
                <w:noProof/>
                <w:webHidden/>
              </w:rPr>
            </w:r>
            <w:r w:rsidR="00076C41">
              <w:rPr>
                <w:noProof/>
                <w:webHidden/>
              </w:rPr>
              <w:fldChar w:fldCharType="separate"/>
            </w:r>
            <w:r w:rsidR="00076C41">
              <w:rPr>
                <w:noProof/>
                <w:webHidden/>
              </w:rPr>
              <w:t>19</w:t>
            </w:r>
            <w:r w:rsidR="00076C41">
              <w:rPr>
                <w:noProof/>
                <w:webHidden/>
              </w:rPr>
              <w:fldChar w:fldCharType="end"/>
            </w:r>
          </w:hyperlink>
        </w:p>
        <w:p w:rsidR="00076C41" w:rsidRDefault="00DC5181">
          <w:pPr>
            <w:pStyle w:val="Sommario3"/>
            <w:tabs>
              <w:tab w:val="right" w:leader="dot" w:pos="9629"/>
            </w:tabs>
            <w:rPr>
              <w:noProof/>
            </w:rPr>
          </w:pPr>
          <w:hyperlink w:anchor="_Toc469659520" w:history="1">
            <w:r w:rsidR="00076C41" w:rsidRPr="00073FDF">
              <w:rPr>
                <w:rStyle w:val="Collegamentoipertestuale"/>
                <w:i/>
                <w:noProof/>
              </w:rPr>
              <w:t>2.2.2 Consistenza del personale</w:t>
            </w:r>
            <w:r w:rsidR="00076C41">
              <w:rPr>
                <w:noProof/>
                <w:webHidden/>
              </w:rPr>
              <w:tab/>
            </w:r>
            <w:r w:rsidR="00076C41">
              <w:rPr>
                <w:noProof/>
                <w:webHidden/>
              </w:rPr>
              <w:fldChar w:fldCharType="begin"/>
            </w:r>
            <w:r w:rsidR="00076C41">
              <w:rPr>
                <w:noProof/>
                <w:webHidden/>
              </w:rPr>
              <w:instrText xml:space="preserve"> PAGEREF _Toc469659520 \h </w:instrText>
            </w:r>
            <w:r w:rsidR="00076C41">
              <w:rPr>
                <w:noProof/>
                <w:webHidden/>
              </w:rPr>
            </w:r>
            <w:r w:rsidR="00076C41">
              <w:rPr>
                <w:noProof/>
                <w:webHidden/>
              </w:rPr>
              <w:fldChar w:fldCharType="separate"/>
            </w:r>
            <w:r w:rsidR="00076C41">
              <w:rPr>
                <w:noProof/>
                <w:webHidden/>
              </w:rPr>
              <w:t>19</w:t>
            </w:r>
            <w:r w:rsidR="00076C41">
              <w:rPr>
                <w:noProof/>
                <w:webHidden/>
              </w:rPr>
              <w:fldChar w:fldCharType="end"/>
            </w:r>
          </w:hyperlink>
        </w:p>
        <w:p w:rsidR="00076C41" w:rsidRDefault="00DC5181">
          <w:pPr>
            <w:pStyle w:val="Sommario3"/>
            <w:tabs>
              <w:tab w:val="right" w:leader="dot" w:pos="9629"/>
            </w:tabs>
            <w:rPr>
              <w:noProof/>
            </w:rPr>
          </w:pPr>
          <w:hyperlink w:anchor="_Toc469659521" w:history="1">
            <w:r w:rsidR="00076C41" w:rsidRPr="00073FDF">
              <w:rPr>
                <w:rStyle w:val="Collegamentoipertestuale"/>
                <w:i/>
                <w:noProof/>
              </w:rPr>
              <w:t>2.2.3 Costi per il diritto allo studio</w:t>
            </w:r>
            <w:r w:rsidR="00076C41">
              <w:rPr>
                <w:noProof/>
                <w:webHidden/>
              </w:rPr>
              <w:tab/>
            </w:r>
            <w:r w:rsidR="00076C41">
              <w:rPr>
                <w:noProof/>
                <w:webHidden/>
              </w:rPr>
              <w:fldChar w:fldCharType="begin"/>
            </w:r>
            <w:r w:rsidR="00076C41">
              <w:rPr>
                <w:noProof/>
                <w:webHidden/>
              </w:rPr>
              <w:instrText xml:space="preserve"> PAGEREF _Toc469659521 \h </w:instrText>
            </w:r>
            <w:r w:rsidR="00076C41">
              <w:rPr>
                <w:noProof/>
                <w:webHidden/>
              </w:rPr>
            </w:r>
            <w:r w:rsidR="00076C41">
              <w:rPr>
                <w:noProof/>
                <w:webHidden/>
              </w:rPr>
              <w:fldChar w:fldCharType="separate"/>
            </w:r>
            <w:r w:rsidR="00076C41">
              <w:rPr>
                <w:noProof/>
                <w:webHidden/>
              </w:rPr>
              <w:t>20</w:t>
            </w:r>
            <w:r w:rsidR="00076C41">
              <w:rPr>
                <w:noProof/>
                <w:webHidden/>
              </w:rPr>
              <w:fldChar w:fldCharType="end"/>
            </w:r>
          </w:hyperlink>
        </w:p>
        <w:p w:rsidR="00076C41" w:rsidRDefault="00DC5181">
          <w:pPr>
            <w:pStyle w:val="Sommario3"/>
            <w:tabs>
              <w:tab w:val="right" w:leader="dot" w:pos="9629"/>
            </w:tabs>
            <w:rPr>
              <w:noProof/>
            </w:rPr>
          </w:pPr>
          <w:hyperlink w:anchor="_Toc469659522" w:history="1">
            <w:r w:rsidR="00076C41" w:rsidRPr="00073FDF">
              <w:rPr>
                <w:rStyle w:val="Collegamentoipertestuale"/>
                <w:i/>
                <w:noProof/>
              </w:rPr>
              <w:t>2.2.4 Altri costi d’esercizio</w:t>
            </w:r>
            <w:r w:rsidR="00076C41">
              <w:rPr>
                <w:noProof/>
                <w:webHidden/>
              </w:rPr>
              <w:tab/>
            </w:r>
            <w:r w:rsidR="00076C41">
              <w:rPr>
                <w:noProof/>
                <w:webHidden/>
              </w:rPr>
              <w:fldChar w:fldCharType="begin"/>
            </w:r>
            <w:r w:rsidR="00076C41">
              <w:rPr>
                <w:noProof/>
                <w:webHidden/>
              </w:rPr>
              <w:instrText xml:space="preserve"> PAGEREF _Toc469659522 \h </w:instrText>
            </w:r>
            <w:r w:rsidR="00076C41">
              <w:rPr>
                <w:noProof/>
                <w:webHidden/>
              </w:rPr>
            </w:r>
            <w:r w:rsidR="00076C41">
              <w:rPr>
                <w:noProof/>
                <w:webHidden/>
              </w:rPr>
              <w:fldChar w:fldCharType="separate"/>
            </w:r>
            <w:r w:rsidR="00076C41">
              <w:rPr>
                <w:noProof/>
                <w:webHidden/>
              </w:rPr>
              <w:t>20</w:t>
            </w:r>
            <w:r w:rsidR="00076C41">
              <w:rPr>
                <w:noProof/>
                <w:webHidden/>
              </w:rPr>
              <w:fldChar w:fldCharType="end"/>
            </w:r>
          </w:hyperlink>
        </w:p>
        <w:p w:rsidR="00076C41" w:rsidRDefault="00DC5181">
          <w:pPr>
            <w:pStyle w:val="Sommario2"/>
            <w:tabs>
              <w:tab w:val="right" w:leader="dot" w:pos="9629"/>
            </w:tabs>
            <w:rPr>
              <w:noProof/>
            </w:rPr>
          </w:pPr>
          <w:hyperlink w:anchor="_Toc469659523" w:history="1">
            <w:r w:rsidR="00076C41" w:rsidRPr="00073FDF">
              <w:rPr>
                <w:rStyle w:val="Collegamentoipertestuale"/>
                <w:i/>
                <w:noProof/>
              </w:rPr>
              <w:t>2.3 Investimenti</w:t>
            </w:r>
            <w:r w:rsidR="00076C41">
              <w:rPr>
                <w:noProof/>
                <w:webHidden/>
              </w:rPr>
              <w:tab/>
            </w:r>
            <w:r w:rsidR="00076C41">
              <w:rPr>
                <w:noProof/>
                <w:webHidden/>
              </w:rPr>
              <w:fldChar w:fldCharType="begin"/>
            </w:r>
            <w:r w:rsidR="00076C41">
              <w:rPr>
                <w:noProof/>
                <w:webHidden/>
              </w:rPr>
              <w:instrText xml:space="preserve"> PAGEREF _Toc469659523 \h </w:instrText>
            </w:r>
            <w:r w:rsidR="00076C41">
              <w:rPr>
                <w:noProof/>
                <w:webHidden/>
              </w:rPr>
            </w:r>
            <w:r w:rsidR="00076C41">
              <w:rPr>
                <w:noProof/>
                <w:webHidden/>
              </w:rPr>
              <w:fldChar w:fldCharType="separate"/>
            </w:r>
            <w:r w:rsidR="00076C41">
              <w:rPr>
                <w:noProof/>
                <w:webHidden/>
              </w:rPr>
              <w:t>22</w:t>
            </w:r>
            <w:r w:rsidR="00076C41">
              <w:rPr>
                <w:noProof/>
                <w:webHidden/>
              </w:rPr>
              <w:fldChar w:fldCharType="end"/>
            </w:r>
          </w:hyperlink>
        </w:p>
        <w:p w:rsidR="00076C41" w:rsidRDefault="00DC5181">
          <w:pPr>
            <w:pStyle w:val="Sommario1"/>
            <w:tabs>
              <w:tab w:val="right" w:leader="dot" w:pos="9629"/>
            </w:tabs>
            <w:rPr>
              <w:rFonts w:asciiTheme="minorHAnsi" w:eastAsiaTheme="minorEastAsia" w:hAnsiTheme="minorHAnsi" w:cstheme="minorBidi"/>
              <w:noProof/>
              <w:sz w:val="22"/>
              <w:szCs w:val="22"/>
            </w:rPr>
          </w:pPr>
          <w:hyperlink w:anchor="_Toc469659533" w:history="1">
            <w:r w:rsidR="00241AB7">
              <w:rPr>
                <w:rStyle w:val="Collegamentoipertestuale"/>
                <w:b/>
                <w:caps/>
                <w:noProof/>
              </w:rPr>
              <w:t>3.</w:t>
            </w:r>
            <w:r w:rsidR="00076C41" w:rsidRPr="00073FDF">
              <w:rPr>
                <w:rStyle w:val="Collegamentoipertestuale"/>
                <w:b/>
                <w:caps/>
                <w:noProof/>
              </w:rPr>
              <w:t>Coperture economico-finanziarie</w:t>
            </w:r>
            <w:r w:rsidR="00076C41">
              <w:rPr>
                <w:noProof/>
                <w:webHidden/>
              </w:rPr>
              <w:tab/>
            </w:r>
            <w:r w:rsidR="00076C41">
              <w:rPr>
                <w:noProof/>
                <w:webHidden/>
              </w:rPr>
              <w:fldChar w:fldCharType="begin"/>
            </w:r>
            <w:r w:rsidR="00076C41">
              <w:rPr>
                <w:noProof/>
                <w:webHidden/>
              </w:rPr>
              <w:instrText xml:space="preserve"> PAGEREF _Toc469659533 \h </w:instrText>
            </w:r>
            <w:r w:rsidR="00076C41">
              <w:rPr>
                <w:noProof/>
                <w:webHidden/>
              </w:rPr>
            </w:r>
            <w:r w:rsidR="00076C41">
              <w:rPr>
                <w:noProof/>
                <w:webHidden/>
              </w:rPr>
              <w:fldChar w:fldCharType="separate"/>
            </w:r>
            <w:r w:rsidR="00076C41">
              <w:rPr>
                <w:noProof/>
                <w:webHidden/>
              </w:rPr>
              <w:t>24</w:t>
            </w:r>
            <w:r w:rsidR="00076C41">
              <w:rPr>
                <w:noProof/>
                <w:webHidden/>
              </w:rPr>
              <w:fldChar w:fldCharType="end"/>
            </w:r>
          </w:hyperlink>
        </w:p>
        <w:p w:rsidR="00076C41" w:rsidRDefault="00DC5181">
          <w:pPr>
            <w:pStyle w:val="Sommario1"/>
            <w:tabs>
              <w:tab w:val="right" w:leader="dot" w:pos="9629"/>
            </w:tabs>
            <w:rPr>
              <w:rFonts w:asciiTheme="minorHAnsi" w:eastAsiaTheme="minorEastAsia" w:hAnsiTheme="minorHAnsi" w:cstheme="minorBidi"/>
              <w:noProof/>
              <w:sz w:val="22"/>
              <w:szCs w:val="22"/>
            </w:rPr>
          </w:pPr>
          <w:hyperlink w:anchor="_Toc469659534" w:history="1">
            <w:r w:rsidR="00241AB7">
              <w:rPr>
                <w:rStyle w:val="Collegamentoipertestuale"/>
                <w:b/>
                <w:caps/>
                <w:noProof/>
              </w:rPr>
              <w:t>4.</w:t>
            </w:r>
            <w:r w:rsidR="00076C41" w:rsidRPr="00073FDF">
              <w:rPr>
                <w:rStyle w:val="Collegamentoipertestuale"/>
                <w:b/>
                <w:caps/>
                <w:noProof/>
              </w:rPr>
              <w:t>Partecipazioni societarie</w:t>
            </w:r>
            <w:r w:rsidR="00076C41">
              <w:rPr>
                <w:noProof/>
                <w:webHidden/>
              </w:rPr>
              <w:tab/>
            </w:r>
            <w:r w:rsidR="00076C41">
              <w:rPr>
                <w:noProof/>
                <w:webHidden/>
              </w:rPr>
              <w:fldChar w:fldCharType="begin"/>
            </w:r>
            <w:r w:rsidR="00076C41">
              <w:rPr>
                <w:noProof/>
                <w:webHidden/>
              </w:rPr>
              <w:instrText xml:space="preserve"> PAGEREF _Toc469659534 \h </w:instrText>
            </w:r>
            <w:r w:rsidR="00076C41">
              <w:rPr>
                <w:noProof/>
                <w:webHidden/>
              </w:rPr>
            </w:r>
            <w:r w:rsidR="00076C41">
              <w:rPr>
                <w:noProof/>
                <w:webHidden/>
              </w:rPr>
              <w:fldChar w:fldCharType="separate"/>
            </w:r>
            <w:r w:rsidR="00076C41">
              <w:rPr>
                <w:noProof/>
                <w:webHidden/>
              </w:rPr>
              <w:t>26</w:t>
            </w:r>
            <w:r w:rsidR="00076C41">
              <w:rPr>
                <w:noProof/>
                <w:webHidden/>
              </w:rPr>
              <w:fldChar w:fldCharType="end"/>
            </w:r>
          </w:hyperlink>
        </w:p>
        <w:p w:rsidR="00076C41" w:rsidRDefault="00DC5181">
          <w:pPr>
            <w:pStyle w:val="Sommario1"/>
            <w:tabs>
              <w:tab w:val="right" w:leader="dot" w:pos="9629"/>
            </w:tabs>
            <w:rPr>
              <w:rFonts w:asciiTheme="minorHAnsi" w:eastAsiaTheme="minorEastAsia" w:hAnsiTheme="minorHAnsi" w:cstheme="minorBidi"/>
              <w:noProof/>
              <w:sz w:val="22"/>
              <w:szCs w:val="22"/>
            </w:rPr>
          </w:pPr>
          <w:hyperlink w:anchor="_Toc469659535" w:history="1">
            <w:r w:rsidR="00241AB7">
              <w:rPr>
                <w:rStyle w:val="Collegamentoipertestuale"/>
                <w:b/>
                <w:caps/>
                <w:noProof/>
              </w:rPr>
              <w:t>5.</w:t>
            </w:r>
            <w:r w:rsidR="00076C41" w:rsidRPr="00073FDF">
              <w:rPr>
                <w:rStyle w:val="Collegamentoipertestuale"/>
                <w:b/>
                <w:caps/>
                <w:noProof/>
              </w:rPr>
              <w:t>Versamenti in favore del bilancio dello Stato</w:t>
            </w:r>
            <w:r w:rsidR="00076C41">
              <w:rPr>
                <w:noProof/>
                <w:webHidden/>
              </w:rPr>
              <w:tab/>
            </w:r>
            <w:r w:rsidR="00076C41">
              <w:rPr>
                <w:noProof/>
                <w:webHidden/>
              </w:rPr>
              <w:fldChar w:fldCharType="begin"/>
            </w:r>
            <w:r w:rsidR="00076C41">
              <w:rPr>
                <w:noProof/>
                <w:webHidden/>
              </w:rPr>
              <w:instrText xml:space="preserve"> PAGEREF _Toc469659535 \h </w:instrText>
            </w:r>
            <w:r w:rsidR="00076C41">
              <w:rPr>
                <w:noProof/>
                <w:webHidden/>
              </w:rPr>
            </w:r>
            <w:r w:rsidR="00076C41">
              <w:rPr>
                <w:noProof/>
                <w:webHidden/>
              </w:rPr>
              <w:fldChar w:fldCharType="separate"/>
            </w:r>
            <w:r w:rsidR="00076C41">
              <w:rPr>
                <w:noProof/>
                <w:webHidden/>
              </w:rPr>
              <w:t>27</w:t>
            </w:r>
            <w:r w:rsidR="00076C41">
              <w:rPr>
                <w:noProof/>
                <w:webHidden/>
              </w:rPr>
              <w:fldChar w:fldCharType="end"/>
            </w:r>
          </w:hyperlink>
        </w:p>
        <w:p w:rsidR="00076C41" w:rsidRDefault="00076C41">
          <w:r>
            <w:rPr>
              <w:b/>
              <w:bCs/>
            </w:rPr>
            <w:fldChar w:fldCharType="end"/>
          </w:r>
        </w:p>
      </w:sdtContent>
    </w:sdt>
    <w:p w:rsidR="00E07BF6" w:rsidRPr="008C4829" w:rsidRDefault="00E07BF6" w:rsidP="00E07BF6">
      <w:pPr>
        <w:jc w:val="center"/>
        <w:rPr>
          <w:color w:val="548DD4" w:themeColor="text2" w:themeTint="99"/>
          <w:sz w:val="36"/>
          <w:szCs w:val="36"/>
        </w:rPr>
      </w:pPr>
    </w:p>
    <w:p w:rsidR="00E07BF6" w:rsidRPr="008C4829" w:rsidRDefault="00E07BF6" w:rsidP="00E07BF6">
      <w:pPr>
        <w:jc w:val="center"/>
        <w:rPr>
          <w:color w:val="548DD4" w:themeColor="text2" w:themeTint="99"/>
          <w:sz w:val="36"/>
          <w:szCs w:val="36"/>
        </w:rPr>
      </w:pPr>
    </w:p>
    <w:p w:rsidR="00E07BF6" w:rsidRPr="008C4829" w:rsidRDefault="00E07BF6" w:rsidP="00E07BF6">
      <w:pPr>
        <w:jc w:val="center"/>
        <w:rPr>
          <w:color w:val="548DD4" w:themeColor="text2" w:themeTint="99"/>
          <w:sz w:val="36"/>
          <w:szCs w:val="36"/>
        </w:rPr>
      </w:pPr>
    </w:p>
    <w:p w:rsidR="00E07BF6" w:rsidRPr="008C4829" w:rsidRDefault="00E07BF6" w:rsidP="00E07BF6">
      <w:pPr>
        <w:jc w:val="center"/>
        <w:rPr>
          <w:color w:val="548DD4" w:themeColor="text2" w:themeTint="99"/>
          <w:sz w:val="36"/>
          <w:szCs w:val="36"/>
        </w:rPr>
      </w:pPr>
    </w:p>
    <w:p w:rsidR="00E07BF6" w:rsidRPr="008C4829" w:rsidRDefault="00E07BF6" w:rsidP="00E07BF6">
      <w:pPr>
        <w:jc w:val="center"/>
        <w:rPr>
          <w:color w:val="548DD4" w:themeColor="text2" w:themeTint="99"/>
          <w:sz w:val="36"/>
          <w:szCs w:val="36"/>
        </w:rPr>
      </w:pPr>
    </w:p>
    <w:p w:rsidR="00E07BF6" w:rsidRPr="008C4829" w:rsidRDefault="00E07BF6" w:rsidP="00E07BF6">
      <w:pPr>
        <w:jc w:val="center"/>
        <w:rPr>
          <w:color w:val="548DD4" w:themeColor="text2" w:themeTint="99"/>
          <w:sz w:val="36"/>
          <w:szCs w:val="36"/>
        </w:rPr>
      </w:pPr>
    </w:p>
    <w:p w:rsidR="00E07BF6" w:rsidRPr="008C4829" w:rsidRDefault="00E07BF6" w:rsidP="00E07BF6">
      <w:pPr>
        <w:jc w:val="center"/>
        <w:rPr>
          <w:color w:val="548DD4" w:themeColor="text2" w:themeTint="99"/>
          <w:sz w:val="36"/>
          <w:szCs w:val="36"/>
        </w:rPr>
      </w:pPr>
    </w:p>
    <w:p w:rsidR="00E07BF6" w:rsidRPr="008C4829" w:rsidRDefault="00E07BF6" w:rsidP="00E07BF6">
      <w:pPr>
        <w:jc w:val="center"/>
        <w:rPr>
          <w:color w:val="548DD4" w:themeColor="text2" w:themeTint="99"/>
          <w:sz w:val="36"/>
          <w:szCs w:val="36"/>
        </w:rPr>
      </w:pPr>
    </w:p>
    <w:p w:rsidR="00E07BF6" w:rsidRPr="008C4829" w:rsidRDefault="00E07BF6" w:rsidP="00E07BF6">
      <w:pPr>
        <w:jc w:val="center"/>
        <w:rPr>
          <w:color w:val="548DD4" w:themeColor="text2" w:themeTint="99"/>
          <w:sz w:val="36"/>
          <w:szCs w:val="36"/>
        </w:rPr>
      </w:pPr>
    </w:p>
    <w:p w:rsidR="00E07BF6" w:rsidRPr="008C4829" w:rsidRDefault="00E07BF6" w:rsidP="00E07BF6">
      <w:pPr>
        <w:jc w:val="center"/>
        <w:rPr>
          <w:color w:val="548DD4" w:themeColor="text2" w:themeTint="99"/>
          <w:sz w:val="36"/>
          <w:szCs w:val="36"/>
        </w:rPr>
      </w:pPr>
    </w:p>
    <w:p w:rsidR="00E07BF6" w:rsidRPr="008C4829" w:rsidRDefault="00E07BF6" w:rsidP="00E07BF6">
      <w:pPr>
        <w:jc w:val="center"/>
        <w:rPr>
          <w:color w:val="548DD4" w:themeColor="text2" w:themeTint="99"/>
          <w:sz w:val="36"/>
          <w:szCs w:val="36"/>
        </w:rPr>
      </w:pPr>
    </w:p>
    <w:p w:rsidR="00E07BF6" w:rsidRPr="008C4829" w:rsidRDefault="00E07BF6" w:rsidP="00E07BF6">
      <w:pPr>
        <w:jc w:val="center"/>
        <w:rPr>
          <w:color w:val="548DD4" w:themeColor="text2" w:themeTint="99"/>
          <w:sz w:val="36"/>
          <w:szCs w:val="36"/>
        </w:rPr>
      </w:pPr>
    </w:p>
    <w:p w:rsidR="00E07BF6" w:rsidRPr="008C4829" w:rsidRDefault="00E07BF6" w:rsidP="00E07BF6">
      <w:pPr>
        <w:jc w:val="center"/>
        <w:rPr>
          <w:color w:val="548DD4" w:themeColor="text2" w:themeTint="99"/>
          <w:sz w:val="36"/>
          <w:szCs w:val="36"/>
        </w:rPr>
      </w:pPr>
    </w:p>
    <w:p w:rsidR="00E07BF6" w:rsidRPr="008C4829" w:rsidRDefault="00E07BF6" w:rsidP="00E07BF6">
      <w:pPr>
        <w:jc w:val="center"/>
        <w:rPr>
          <w:color w:val="548DD4" w:themeColor="text2" w:themeTint="99"/>
          <w:sz w:val="36"/>
          <w:szCs w:val="36"/>
        </w:rPr>
      </w:pPr>
    </w:p>
    <w:p w:rsidR="00E07BF6" w:rsidRPr="00E14E65" w:rsidRDefault="00E07BF6" w:rsidP="00E14E65">
      <w:pPr>
        <w:pStyle w:val="Titolo1"/>
        <w:rPr>
          <w:rFonts w:ascii="Times New Roman" w:hAnsi="Times New Roman"/>
          <w:b/>
          <w:i w:val="0"/>
          <w:sz w:val="24"/>
          <w:szCs w:val="24"/>
        </w:rPr>
      </w:pPr>
      <w:bookmarkStart w:id="1" w:name="_Toc469659509"/>
      <w:r w:rsidRPr="00E14E65">
        <w:rPr>
          <w:rFonts w:ascii="Times New Roman" w:hAnsi="Times New Roman"/>
          <w:b/>
          <w:i w:val="0"/>
          <w:sz w:val="24"/>
          <w:szCs w:val="24"/>
        </w:rPr>
        <w:t>1.</w:t>
      </w:r>
      <w:r w:rsidR="00306E0A" w:rsidRPr="00E14E65">
        <w:rPr>
          <w:rFonts w:ascii="Times New Roman" w:hAnsi="Times New Roman"/>
          <w:b/>
          <w:i w:val="0"/>
          <w:sz w:val="24"/>
          <w:szCs w:val="24"/>
        </w:rPr>
        <w:t>INTRODUZIONE</w:t>
      </w:r>
      <w:bookmarkEnd w:id="1"/>
    </w:p>
    <w:p w:rsidR="00E07BF6" w:rsidRPr="008C4829" w:rsidRDefault="00E07BF6" w:rsidP="00E07BF6">
      <w:pPr>
        <w:jc w:val="both"/>
        <w:rPr>
          <w:b/>
          <w:color w:val="548DD4" w:themeColor="text2" w:themeTint="99"/>
          <w:sz w:val="24"/>
          <w:szCs w:val="24"/>
        </w:rPr>
      </w:pPr>
    </w:p>
    <w:p w:rsidR="00C53911" w:rsidRPr="008C4829" w:rsidRDefault="00E07BF6" w:rsidP="00267B7E">
      <w:pPr>
        <w:autoSpaceDE w:val="0"/>
        <w:autoSpaceDN w:val="0"/>
        <w:adjustRightInd w:val="0"/>
        <w:ind w:firstLine="720"/>
        <w:jc w:val="both"/>
        <w:rPr>
          <w:sz w:val="24"/>
          <w:szCs w:val="24"/>
        </w:rPr>
      </w:pPr>
      <w:r w:rsidRPr="008C4829">
        <w:rPr>
          <w:sz w:val="24"/>
          <w:szCs w:val="24"/>
        </w:rPr>
        <w:t>Il Budget unico d’Ateneo</w:t>
      </w:r>
      <w:r w:rsidR="00267B7E" w:rsidRPr="008C4829">
        <w:rPr>
          <w:sz w:val="24"/>
          <w:szCs w:val="24"/>
        </w:rPr>
        <w:t>, autorizzatorio</w:t>
      </w:r>
      <w:r w:rsidR="008C4829" w:rsidRPr="008C4829">
        <w:rPr>
          <w:sz w:val="24"/>
          <w:szCs w:val="24"/>
        </w:rPr>
        <w:t xml:space="preserve"> per l’esercizio 2017</w:t>
      </w:r>
      <w:r w:rsidR="00267B7E" w:rsidRPr="008C4829">
        <w:rPr>
          <w:sz w:val="24"/>
          <w:szCs w:val="24"/>
        </w:rPr>
        <w:t xml:space="preserve"> e di</w:t>
      </w:r>
      <w:r w:rsidR="008C4829" w:rsidRPr="008C4829">
        <w:rPr>
          <w:sz w:val="24"/>
          <w:szCs w:val="24"/>
        </w:rPr>
        <w:t xml:space="preserve"> previsione per il </w:t>
      </w:r>
      <w:r w:rsidR="00BB2359">
        <w:rPr>
          <w:sz w:val="24"/>
          <w:szCs w:val="24"/>
        </w:rPr>
        <w:t>biennio 2018</w:t>
      </w:r>
      <w:r w:rsidR="008C4829" w:rsidRPr="008C4829">
        <w:rPr>
          <w:sz w:val="24"/>
          <w:szCs w:val="24"/>
        </w:rPr>
        <w:t>-2019</w:t>
      </w:r>
      <w:r w:rsidR="00267B7E" w:rsidRPr="008C4829">
        <w:rPr>
          <w:sz w:val="24"/>
          <w:szCs w:val="24"/>
        </w:rPr>
        <w:t xml:space="preserve">, </w:t>
      </w:r>
      <w:r w:rsidRPr="008C4829">
        <w:rPr>
          <w:sz w:val="24"/>
          <w:szCs w:val="24"/>
        </w:rPr>
        <w:t xml:space="preserve">è redatto in virtù di quanto previsto dalla Legge n.240 del 2010 e dei successivi decreti attuativi n.18 del 2012 e n. </w:t>
      </w:r>
      <w:r w:rsidR="00BB2359">
        <w:rPr>
          <w:sz w:val="24"/>
          <w:szCs w:val="24"/>
        </w:rPr>
        <w:t>19 del 2014.</w:t>
      </w:r>
    </w:p>
    <w:p w:rsidR="00EE2B59" w:rsidRPr="008C4829" w:rsidRDefault="00BB2359" w:rsidP="00997FE2">
      <w:pPr>
        <w:autoSpaceDE w:val="0"/>
        <w:autoSpaceDN w:val="0"/>
        <w:adjustRightInd w:val="0"/>
        <w:ind w:firstLine="720"/>
        <w:jc w:val="both"/>
        <w:rPr>
          <w:color w:val="548DD4" w:themeColor="text2" w:themeTint="99"/>
          <w:sz w:val="24"/>
          <w:szCs w:val="24"/>
        </w:rPr>
      </w:pPr>
      <w:r>
        <w:rPr>
          <w:sz w:val="24"/>
          <w:szCs w:val="24"/>
        </w:rPr>
        <w:t>G</w:t>
      </w:r>
      <w:r w:rsidR="00E07BF6" w:rsidRPr="008C4829">
        <w:rPr>
          <w:sz w:val="24"/>
          <w:szCs w:val="24"/>
        </w:rPr>
        <w:t xml:space="preserve">li schemi </w:t>
      </w:r>
      <w:r w:rsidR="003B0B64" w:rsidRPr="008C4829">
        <w:rPr>
          <w:sz w:val="24"/>
          <w:szCs w:val="24"/>
        </w:rPr>
        <w:t xml:space="preserve">di bilancio </w:t>
      </w:r>
      <w:r w:rsidR="00E07BF6" w:rsidRPr="008C4829">
        <w:rPr>
          <w:sz w:val="24"/>
          <w:szCs w:val="24"/>
        </w:rPr>
        <w:t>adottati</w:t>
      </w:r>
      <w:r>
        <w:rPr>
          <w:sz w:val="24"/>
          <w:szCs w:val="24"/>
        </w:rPr>
        <w:t>, in particolare,</w:t>
      </w:r>
      <w:r w:rsidR="00E07BF6" w:rsidRPr="008C4829">
        <w:rPr>
          <w:sz w:val="24"/>
          <w:szCs w:val="24"/>
        </w:rPr>
        <w:t xml:space="preserve"> fanno </w:t>
      </w:r>
      <w:r w:rsidR="003B0B64" w:rsidRPr="008C4829">
        <w:rPr>
          <w:sz w:val="24"/>
          <w:szCs w:val="24"/>
        </w:rPr>
        <w:t>riferimento al contenuto del</w:t>
      </w:r>
      <w:r w:rsidR="00EE2B59" w:rsidRPr="008C4829">
        <w:rPr>
          <w:sz w:val="24"/>
          <w:szCs w:val="24"/>
        </w:rPr>
        <w:t xml:space="preserve"> D</w:t>
      </w:r>
      <w:r w:rsidR="003B0B64" w:rsidRPr="008C4829">
        <w:rPr>
          <w:sz w:val="24"/>
          <w:szCs w:val="24"/>
        </w:rPr>
        <w:t xml:space="preserve">ecreto interministeriale </w:t>
      </w:r>
      <w:r w:rsidR="00EE2B59" w:rsidRPr="008C4829">
        <w:rPr>
          <w:sz w:val="24"/>
          <w:szCs w:val="24"/>
        </w:rPr>
        <w:t>n.925 del 10/12/2015, elaborato in base all’articolo 3, c</w:t>
      </w:r>
      <w:r w:rsidR="008C4829" w:rsidRPr="008C4829">
        <w:rPr>
          <w:sz w:val="24"/>
          <w:szCs w:val="24"/>
        </w:rPr>
        <w:t>omma 6 del citato decreto n.19.</w:t>
      </w:r>
    </w:p>
    <w:p w:rsidR="00267B7E" w:rsidRDefault="00267B7E" w:rsidP="00884306">
      <w:pPr>
        <w:autoSpaceDE w:val="0"/>
        <w:autoSpaceDN w:val="0"/>
        <w:adjustRightInd w:val="0"/>
        <w:ind w:firstLine="720"/>
        <w:jc w:val="both"/>
        <w:rPr>
          <w:sz w:val="24"/>
          <w:szCs w:val="24"/>
        </w:rPr>
      </w:pPr>
      <w:r w:rsidRPr="00443506">
        <w:rPr>
          <w:sz w:val="24"/>
          <w:szCs w:val="24"/>
        </w:rPr>
        <w:t xml:space="preserve">Parimenti, la presente Nota Illustrativa segue le linee guida </w:t>
      </w:r>
      <w:r w:rsidR="004E501A" w:rsidRPr="00443506">
        <w:rPr>
          <w:sz w:val="24"/>
          <w:szCs w:val="24"/>
        </w:rPr>
        <w:t xml:space="preserve">fornite </w:t>
      </w:r>
      <w:r w:rsidR="00F8011D" w:rsidRPr="00443506">
        <w:rPr>
          <w:sz w:val="24"/>
          <w:szCs w:val="24"/>
        </w:rPr>
        <w:t xml:space="preserve">anch’esse </w:t>
      </w:r>
      <w:r w:rsidRPr="00443506">
        <w:rPr>
          <w:sz w:val="24"/>
          <w:szCs w:val="24"/>
        </w:rPr>
        <w:t xml:space="preserve">dal Ministero </w:t>
      </w:r>
      <w:r w:rsidR="00F8011D" w:rsidRPr="00443506">
        <w:rPr>
          <w:sz w:val="24"/>
          <w:szCs w:val="24"/>
        </w:rPr>
        <w:t xml:space="preserve">e </w:t>
      </w:r>
      <w:r w:rsidR="00884306" w:rsidRPr="00443506">
        <w:rPr>
          <w:sz w:val="24"/>
          <w:szCs w:val="24"/>
        </w:rPr>
        <w:t>riportate in</w:t>
      </w:r>
      <w:r w:rsidR="001D3DD3" w:rsidRPr="00443506">
        <w:rPr>
          <w:sz w:val="24"/>
          <w:szCs w:val="24"/>
        </w:rPr>
        <w:t xml:space="preserve"> apposito </w:t>
      </w:r>
      <w:r w:rsidRPr="00443506">
        <w:rPr>
          <w:sz w:val="24"/>
          <w:szCs w:val="24"/>
        </w:rPr>
        <w:t xml:space="preserve">documento elaborato dalla </w:t>
      </w:r>
      <w:r w:rsidR="00884306" w:rsidRPr="00443506">
        <w:rPr>
          <w:sz w:val="24"/>
          <w:szCs w:val="24"/>
        </w:rPr>
        <w:t>Commissione per la contabilità economico-patrimoniale delle Università</w:t>
      </w:r>
      <w:r w:rsidR="004E501A" w:rsidRPr="00443506">
        <w:rPr>
          <w:sz w:val="24"/>
          <w:szCs w:val="24"/>
        </w:rPr>
        <w:t xml:space="preserve"> </w:t>
      </w:r>
      <w:r w:rsidR="00884306" w:rsidRPr="00443506">
        <w:rPr>
          <w:sz w:val="24"/>
          <w:szCs w:val="24"/>
        </w:rPr>
        <w:t>incluso nel Manuale tecnico operativo</w:t>
      </w:r>
      <w:r w:rsidR="004E501A" w:rsidRPr="00443506">
        <w:rPr>
          <w:sz w:val="24"/>
          <w:szCs w:val="24"/>
        </w:rPr>
        <w:t>,</w:t>
      </w:r>
      <w:r w:rsidR="00884306" w:rsidRPr="00443506">
        <w:rPr>
          <w:sz w:val="24"/>
          <w:szCs w:val="24"/>
        </w:rPr>
        <w:t xml:space="preserve"> </w:t>
      </w:r>
      <w:r w:rsidR="00B40A08" w:rsidRPr="00443506">
        <w:rPr>
          <w:sz w:val="24"/>
          <w:szCs w:val="24"/>
        </w:rPr>
        <w:t>di cui all’art.8 del citato Decreto n.19 e adottato con Decreto Direttoriale n.3112 del 2/12/2015.</w:t>
      </w:r>
    </w:p>
    <w:p w:rsidR="00C646D3" w:rsidRDefault="00547243" w:rsidP="00884306">
      <w:pPr>
        <w:autoSpaceDE w:val="0"/>
        <w:autoSpaceDN w:val="0"/>
        <w:adjustRightInd w:val="0"/>
        <w:ind w:firstLine="720"/>
        <w:jc w:val="both"/>
        <w:rPr>
          <w:sz w:val="24"/>
          <w:szCs w:val="24"/>
        </w:rPr>
      </w:pPr>
      <w:r>
        <w:rPr>
          <w:sz w:val="24"/>
          <w:szCs w:val="24"/>
        </w:rPr>
        <w:t xml:space="preserve">In tal senso, si intende anche richiamare la </w:t>
      </w:r>
      <w:r w:rsidRPr="00C646D3">
        <w:rPr>
          <w:i/>
          <w:sz w:val="24"/>
          <w:szCs w:val="24"/>
        </w:rPr>
        <w:t>seconda versione</w:t>
      </w:r>
      <w:r>
        <w:rPr>
          <w:sz w:val="24"/>
          <w:szCs w:val="24"/>
        </w:rPr>
        <w:t xml:space="preserve"> dello “Schema di Manuale tecnico-operativo” </w:t>
      </w:r>
      <w:r w:rsidR="00C646D3">
        <w:rPr>
          <w:sz w:val="24"/>
          <w:szCs w:val="24"/>
        </w:rPr>
        <w:t>di cui alla nota M.I.U.R. del 21/03/2016, prot.n.3967, la quale risulta integrata con le fattispecie non trattate nell’ambito della prima edizione ed in particolare:</w:t>
      </w:r>
    </w:p>
    <w:p w:rsidR="008938E1" w:rsidRDefault="008938E1" w:rsidP="00884306">
      <w:pPr>
        <w:autoSpaceDE w:val="0"/>
        <w:autoSpaceDN w:val="0"/>
        <w:adjustRightInd w:val="0"/>
        <w:ind w:firstLine="720"/>
        <w:jc w:val="both"/>
        <w:rPr>
          <w:sz w:val="24"/>
          <w:szCs w:val="24"/>
        </w:rPr>
      </w:pPr>
    </w:p>
    <w:p w:rsidR="00547243" w:rsidRDefault="00C646D3" w:rsidP="00736B8D">
      <w:pPr>
        <w:pStyle w:val="Paragrafoelenco"/>
        <w:numPr>
          <w:ilvl w:val="0"/>
          <w:numId w:val="3"/>
        </w:numPr>
        <w:autoSpaceDE w:val="0"/>
        <w:autoSpaceDN w:val="0"/>
        <w:adjustRightInd w:val="0"/>
        <w:jc w:val="both"/>
        <w:rPr>
          <w:sz w:val="24"/>
          <w:szCs w:val="24"/>
        </w:rPr>
      </w:pPr>
      <w:r>
        <w:rPr>
          <w:sz w:val="24"/>
          <w:szCs w:val="24"/>
        </w:rPr>
        <w:t>Immobilizzazioni immateriali</w:t>
      </w:r>
    </w:p>
    <w:p w:rsidR="00C646D3" w:rsidRDefault="00C646D3" w:rsidP="00736B8D">
      <w:pPr>
        <w:pStyle w:val="Paragrafoelenco"/>
        <w:numPr>
          <w:ilvl w:val="0"/>
          <w:numId w:val="3"/>
        </w:numPr>
        <w:autoSpaceDE w:val="0"/>
        <w:autoSpaceDN w:val="0"/>
        <w:adjustRightInd w:val="0"/>
        <w:jc w:val="both"/>
        <w:rPr>
          <w:sz w:val="24"/>
          <w:szCs w:val="24"/>
        </w:rPr>
      </w:pPr>
      <w:r>
        <w:rPr>
          <w:sz w:val="24"/>
          <w:szCs w:val="24"/>
        </w:rPr>
        <w:t>Immobilizzazioni materiali</w:t>
      </w:r>
    </w:p>
    <w:p w:rsidR="00C646D3" w:rsidRDefault="00C646D3" w:rsidP="00736B8D">
      <w:pPr>
        <w:pStyle w:val="Paragrafoelenco"/>
        <w:numPr>
          <w:ilvl w:val="0"/>
          <w:numId w:val="3"/>
        </w:numPr>
        <w:autoSpaceDE w:val="0"/>
        <w:autoSpaceDN w:val="0"/>
        <w:adjustRightInd w:val="0"/>
        <w:jc w:val="both"/>
        <w:rPr>
          <w:sz w:val="24"/>
          <w:szCs w:val="24"/>
        </w:rPr>
      </w:pPr>
      <w:r>
        <w:rPr>
          <w:sz w:val="24"/>
          <w:szCs w:val="24"/>
        </w:rPr>
        <w:t>Patrimonio Netto</w:t>
      </w:r>
    </w:p>
    <w:p w:rsidR="00C646D3" w:rsidRDefault="00C646D3" w:rsidP="00736B8D">
      <w:pPr>
        <w:pStyle w:val="Paragrafoelenco"/>
        <w:numPr>
          <w:ilvl w:val="0"/>
          <w:numId w:val="3"/>
        </w:numPr>
        <w:autoSpaceDE w:val="0"/>
        <w:autoSpaceDN w:val="0"/>
        <w:adjustRightInd w:val="0"/>
        <w:jc w:val="both"/>
        <w:rPr>
          <w:sz w:val="24"/>
          <w:szCs w:val="24"/>
        </w:rPr>
      </w:pPr>
      <w:r>
        <w:rPr>
          <w:sz w:val="24"/>
          <w:szCs w:val="24"/>
        </w:rPr>
        <w:t>Liberalità</w:t>
      </w:r>
    </w:p>
    <w:p w:rsidR="00C646D3" w:rsidRDefault="00C646D3" w:rsidP="00736B8D">
      <w:pPr>
        <w:pStyle w:val="Paragrafoelenco"/>
        <w:numPr>
          <w:ilvl w:val="0"/>
          <w:numId w:val="3"/>
        </w:numPr>
        <w:autoSpaceDE w:val="0"/>
        <w:autoSpaceDN w:val="0"/>
        <w:adjustRightInd w:val="0"/>
        <w:jc w:val="both"/>
        <w:rPr>
          <w:sz w:val="24"/>
          <w:szCs w:val="24"/>
        </w:rPr>
      </w:pPr>
      <w:r>
        <w:rPr>
          <w:sz w:val="24"/>
          <w:szCs w:val="24"/>
        </w:rPr>
        <w:t>Valutazione dei progetti, delle commesse e delle ricerche nelle università</w:t>
      </w:r>
    </w:p>
    <w:p w:rsidR="00C646D3" w:rsidRDefault="00C646D3" w:rsidP="00736B8D">
      <w:pPr>
        <w:pStyle w:val="Paragrafoelenco"/>
        <w:numPr>
          <w:ilvl w:val="0"/>
          <w:numId w:val="3"/>
        </w:numPr>
        <w:autoSpaceDE w:val="0"/>
        <w:autoSpaceDN w:val="0"/>
        <w:adjustRightInd w:val="0"/>
        <w:jc w:val="both"/>
        <w:rPr>
          <w:sz w:val="24"/>
          <w:szCs w:val="24"/>
        </w:rPr>
      </w:pPr>
      <w:r>
        <w:rPr>
          <w:sz w:val="24"/>
          <w:szCs w:val="24"/>
        </w:rPr>
        <w:t>Contributi annuali / pluriennali (ad integrazione / rettifica di quanto stabilito nella prima edizione).</w:t>
      </w:r>
    </w:p>
    <w:p w:rsidR="008938E1" w:rsidRDefault="008938E1" w:rsidP="008938E1">
      <w:pPr>
        <w:pStyle w:val="Paragrafoelenco"/>
        <w:autoSpaceDE w:val="0"/>
        <w:autoSpaceDN w:val="0"/>
        <w:adjustRightInd w:val="0"/>
        <w:ind w:left="1080"/>
        <w:jc w:val="both"/>
        <w:rPr>
          <w:sz w:val="24"/>
          <w:szCs w:val="24"/>
        </w:rPr>
      </w:pPr>
    </w:p>
    <w:p w:rsidR="008938E1" w:rsidRPr="008938E1" w:rsidRDefault="008938E1" w:rsidP="008938E1">
      <w:pPr>
        <w:autoSpaceDE w:val="0"/>
        <w:autoSpaceDN w:val="0"/>
        <w:adjustRightInd w:val="0"/>
        <w:ind w:firstLine="720"/>
        <w:jc w:val="both"/>
        <w:rPr>
          <w:sz w:val="24"/>
          <w:szCs w:val="24"/>
        </w:rPr>
      </w:pPr>
      <w:r>
        <w:rPr>
          <w:sz w:val="24"/>
          <w:szCs w:val="24"/>
        </w:rPr>
        <w:t xml:space="preserve">Inoltre, sono presenti una nota illustrativa per l’applicazione degli schemi di budget di cui all’art.1, comma 5 del D.I. n.925 del 10/12/2015 e indicazioni riguardanti la definizione di amministrazioni pubbliche. </w:t>
      </w:r>
    </w:p>
    <w:p w:rsidR="00EA7BEF" w:rsidRDefault="001D3DD3" w:rsidP="00884306">
      <w:pPr>
        <w:autoSpaceDE w:val="0"/>
        <w:autoSpaceDN w:val="0"/>
        <w:adjustRightInd w:val="0"/>
        <w:ind w:firstLine="720"/>
        <w:jc w:val="both"/>
        <w:rPr>
          <w:sz w:val="24"/>
          <w:szCs w:val="24"/>
        </w:rPr>
      </w:pPr>
      <w:r w:rsidRPr="00EA7BEF">
        <w:rPr>
          <w:sz w:val="24"/>
          <w:szCs w:val="24"/>
        </w:rPr>
        <w:t xml:space="preserve">In relazione a quanto poc'anzi rappresentato, è </w:t>
      </w:r>
      <w:r w:rsidR="00EA7BEF">
        <w:rPr>
          <w:sz w:val="24"/>
          <w:szCs w:val="24"/>
        </w:rPr>
        <w:t>utile</w:t>
      </w:r>
      <w:r w:rsidRPr="00EA7BEF">
        <w:rPr>
          <w:sz w:val="24"/>
          <w:szCs w:val="24"/>
        </w:rPr>
        <w:t xml:space="preserve"> specificare </w:t>
      </w:r>
      <w:r w:rsidR="00E30CA0" w:rsidRPr="00EA7BEF">
        <w:rPr>
          <w:sz w:val="24"/>
          <w:szCs w:val="24"/>
        </w:rPr>
        <w:t xml:space="preserve">che il Politecnico ha adottato il Bilancio unico in contabilità economico-patrimoniale, annuale e triennale, sin dall’esercizio 2015. </w:t>
      </w:r>
    </w:p>
    <w:p w:rsidR="00672960" w:rsidRPr="00EA7BEF" w:rsidRDefault="00CB693E" w:rsidP="00884306">
      <w:pPr>
        <w:autoSpaceDE w:val="0"/>
        <w:autoSpaceDN w:val="0"/>
        <w:adjustRightInd w:val="0"/>
        <w:ind w:firstLine="720"/>
        <w:jc w:val="both"/>
        <w:rPr>
          <w:sz w:val="24"/>
          <w:szCs w:val="24"/>
        </w:rPr>
      </w:pPr>
      <w:r w:rsidRPr="00EA7BEF">
        <w:rPr>
          <w:sz w:val="24"/>
          <w:szCs w:val="24"/>
        </w:rPr>
        <w:t>Con riferimento all’articolo 5, comma 3 del Decreto n.</w:t>
      </w:r>
      <w:r w:rsidR="008C2478" w:rsidRPr="00EA7BEF">
        <w:rPr>
          <w:sz w:val="24"/>
          <w:szCs w:val="24"/>
        </w:rPr>
        <w:t>18 del 2012, questo Aten</w:t>
      </w:r>
      <w:r w:rsidR="00A20E6F">
        <w:rPr>
          <w:sz w:val="24"/>
          <w:szCs w:val="24"/>
        </w:rPr>
        <w:t>eo ha strutturato il budget 2017</w:t>
      </w:r>
      <w:r w:rsidR="008C2478" w:rsidRPr="00EA7BEF">
        <w:rPr>
          <w:sz w:val="24"/>
          <w:szCs w:val="24"/>
        </w:rPr>
        <w:t xml:space="preserve"> coerentemente con la propria articolazione organizzativa complessiva, nel rispetto dei gradi di autonomia gestionale e amministrativa riconosciuti ai vari centri di responsabilità, ad inclusione di quelli dediti alla ricerca e alla didattica.</w:t>
      </w:r>
    </w:p>
    <w:p w:rsidR="00982306" w:rsidRPr="00C47555" w:rsidRDefault="008C2478" w:rsidP="00884306">
      <w:pPr>
        <w:autoSpaceDE w:val="0"/>
        <w:autoSpaceDN w:val="0"/>
        <w:adjustRightInd w:val="0"/>
        <w:ind w:firstLine="720"/>
        <w:jc w:val="both"/>
        <w:rPr>
          <w:sz w:val="24"/>
          <w:szCs w:val="24"/>
        </w:rPr>
      </w:pPr>
      <w:r w:rsidRPr="00C47555">
        <w:rPr>
          <w:sz w:val="24"/>
          <w:szCs w:val="24"/>
        </w:rPr>
        <w:t xml:space="preserve">A quest’ultimo proposito sembra opportuno </w:t>
      </w:r>
      <w:r w:rsidR="0087462B" w:rsidRPr="00C47555">
        <w:rPr>
          <w:sz w:val="24"/>
          <w:szCs w:val="24"/>
        </w:rPr>
        <w:t>menzionare l</w:t>
      </w:r>
      <w:r w:rsidR="00672960" w:rsidRPr="00C47555">
        <w:rPr>
          <w:sz w:val="24"/>
          <w:szCs w:val="24"/>
        </w:rPr>
        <w:t xml:space="preserve">a riorganizzazione interna del Politecnico, avviata nel 2015 </w:t>
      </w:r>
      <w:r w:rsidR="00997461" w:rsidRPr="00C47555">
        <w:rPr>
          <w:sz w:val="24"/>
          <w:szCs w:val="24"/>
        </w:rPr>
        <w:t>con la rimodulazione degli asset</w:t>
      </w:r>
      <w:r w:rsidR="00672960" w:rsidRPr="00C47555">
        <w:rPr>
          <w:sz w:val="24"/>
          <w:szCs w:val="24"/>
        </w:rPr>
        <w:t xml:space="preserve">ti dirigenziali dell’Amministrazione Centrale e </w:t>
      </w:r>
      <w:r w:rsidR="00C47555" w:rsidRPr="00C47555">
        <w:rPr>
          <w:sz w:val="24"/>
          <w:szCs w:val="24"/>
        </w:rPr>
        <w:t xml:space="preserve">attuata </w:t>
      </w:r>
      <w:r w:rsidR="00672960" w:rsidRPr="00C47555">
        <w:rPr>
          <w:sz w:val="24"/>
          <w:szCs w:val="24"/>
        </w:rPr>
        <w:t xml:space="preserve">pienamente nel corso del 2016, con la creazione </w:t>
      </w:r>
      <w:r w:rsidR="0087462B" w:rsidRPr="00C47555">
        <w:rPr>
          <w:sz w:val="24"/>
          <w:szCs w:val="24"/>
        </w:rPr>
        <w:t>del</w:t>
      </w:r>
      <w:r w:rsidR="00672960" w:rsidRPr="00C47555">
        <w:rPr>
          <w:sz w:val="24"/>
          <w:szCs w:val="24"/>
        </w:rPr>
        <w:t xml:space="preserve"> Centro di Servizi</w:t>
      </w:r>
      <w:r w:rsidR="00982306" w:rsidRPr="00C47555">
        <w:rPr>
          <w:sz w:val="24"/>
          <w:szCs w:val="24"/>
        </w:rPr>
        <w:t xml:space="preserve"> d’Ateneo</w:t>
      </w:r>
      <w:r w:rsidR="00672960" w:rsidRPr="00C47555">
        <w:rPr>
          <w:sz w:val="24"/>
          <w:szCs w:val="24"/>
        </w:rPr>
        <w:t>. Quest’</w:t>
      </w:r>
      <w:r w:rsidR="00982306" w:rsidRPr="00C47555">
        <w:rPr>
          <w:sz w:val="24"/>
          <w:szCs w:val="24"/>
        </w:rPr>
        <w:t>ultima struttura, gerarchicamente subordinata al</w:t>
      </w:r>
      <w:r w:rsidR="00C47555" w:rsidRPr="00C47555">
        <w:rPr>
          <w:sz w:val="24"/>
          <w:szCs w:val="24"/>
        </w:rPr>
        <w:t>la Direzione Generale, assorbe</w:t>
      </w:r>
      <w:r w:rsidR="00982306" w:rsidRPr="00C47555">
        <w:rPr>
          <w:sz w:val="24"/>
          <w:szCs w:val="24"/>
        </w:rPr>
        <w:t xml:space="preserve"> le competenze di bilancio </w:t>
      </w:r>
      <w:r w:rsidR="00B60811" w:rsidRPr="00C47555">
        <w:rPr>
          <w:sz w:val="24"/>
          <w:szCs w:val="24"/>
        </w:rPr>
        <w:t xml:space="preserve">e contabili </w:t>
      </w:r>
      <w:r w:rsidR="00982306" w:rsidRPr="00C47555">
        <w:rPr>
          <w:sz w:val="24"/>
          <w:szCs w:val="24"/>
        </w:rPr>
        <w:t>dei Dipartimenti</w:t>
      </w:r>
      <w:r w:rsidR="00C665AB" w:rsidRPr="00C47555">
        <w:rPr>
          <w:sz w:val="24"/>
          <w:szCs w:val="24"/>
        </w:rPr>
        <w:t>.</w:t>
      </w:r>
    </w:p>
    <w:p w:rsidR="00982306" w:rsidRPr="00923116" w:rsidRDefault="002633A6" w:rsidP="00884306">
      <w:pPr>
        <w:autoSpaceDE w:val="0"/>
        <w:autoSpaceDN w:val="0"/>
        <w:adjustRightInd w:val="0"/>
        <w:ind w:firstLine="720"/>
        <w:jc w:val="both"/>
        <w:rPr>
          <w:sz w:val="24"/>
          <w:szCs w:val="24"/>
        </w:rPr>
      </w:pPr>
      <w:r w:rsidRPr="00923116">
        <w:rPr>
          <w:sz w:val="24"/>
          <w:szCs w:val="24"/>
        </w:rPr>
        <w:t>S</w:t>
      </w:r>
      <w:r w:rsidR="008F31A6" w:rsidRPr="00923116">
        <w:rPr>
          <w:sz w:val="24"/>
          <w:szCs w:val="24"/>
        </w:rPr>
        <w:t xml:space="preserve">ul </w:t>
      </w:r>
      <w:r w:rsidR="00814402" w:rsidRPr="00923116">
        <w:rPr>
          <w:sz w:val="24"/>
          <w:szCs w:val="24"/>
        </w:rPr>
        <w:t>fronte</w:t>
      </w:r>
      <w:r w:rsidR="008F31A6" w:rsidRPr="00923116">
        <w:rPr>
          <w:sz w:val="24"/>
          <w:szCs w:val="24"/>
        </w:rPr>
        <w:t xml:space="preserve"> </w:t>
      </w:r>
      <w:r w:rsidR="00C01CD7" w:rsidRPr="00923116">
        <w:rPr>
          <w:sz w:val="24"/>
          <w:szCs w:val="24"/>
        </w:rPr>
        <w:t>economico-finanziario</w:t>
      </w:r>
      <w:r w:rsidR="008F31A6" w:rsidRPr="00923116">
        <w:rPr>
          <w:sz w:val="24"/>
          <w:szCs w:val="24"/>
        </w:rPr>
        <w:t xml:space="preserve">, con la nuova struttura organizzativa </w:t>
      </w:r>
      <w:r w:rsidR="00C01CD7" w:rsidRPr="00923116">
        <w:rPr>
          <w:sz w:val="24"/>
          <w:szCs w:val="24"/>
        </w:rPr>
        <w:t xml:space="preserve">si </w:t>
      </w:r>
      <w:r w:rsidR="00923116" w:rsidRPr="00923116">
        <w:rPr>
          <w:sz w:val="24"/>
          <w:szCs w:val="24"/>
        </w:rPr>
        <w:t>è inteso</w:t>
      </w:r>
      <w:r w:rsidR="00C01CD7" w:rsidRPr="00923116">
        <w:rPr>
          <w:sz w:val="24"/>
          <w:szCs w:val="24"/>
        </w:rPr>
        <w:t xml:space="preserve"> applicare in maniera sostanziale la normativa </w:t>
      </w:r>
      <w:r w:rsidR="00814402" w:rsidRPr="00923116">
        <w:rPr>
          <w:sz w:val="24"/>
          <w:szCs w:val="24"/>
        </w:rPr>
        <w:t xml:space="preserve">vigente </w:t>
      </w:r>
      <w:r w:rsidR="00C01CD7" w:rsidRPr="00923116">
        <w:rPr>
          <w:sz w:val="24"/>
          <w:szCs w:val="24"/>
        </w:rPr>
        <w:t xml:space="preserve">per gli aspetti riguardanti la responsabilità </w:t>
      </w:r>
      <w:r w:rsidR="00A723F1" w:rsidRPr="00923116">
        <w:rPr>
          <w:sz w:val="24"/>
          <w:szCs w:val="24"/>
        </w:rPr>
        <w:t xml:space="preserve">diretta </w:t>
      </w:r>
      <w:r w:rsidR="00C01CD7" w:rsidRPr="00923116">
        <w:rPr>
          <w:sz w:val="24"/>
          <w:szCs w:val="24"/>
        </w:rPr>
        <w:t>del Direttore Generale</w:t>
      </w:r>
      <w:r w:rsidR="00A723F1" w:rsidRPr="00923116">
        <w:rPr>
          <w:sz w:val="24"/>
          <w:szCs w:val="24"/>
        </w:rPr>
        <w:t xml:space="preserve"> sul</w:t>
      </w:r>
      <w:r w:rsidR="00C01CD7" w:rsidRPr="00923116">
        <w:rPr>
          <w:sz w:val="24"/>
          <w:szCs w:val="24"/>
        </w:rPr>
        <w:t xml:space="preserve"> bilancio </w:t>
      </w:r>
      <w:r w:rsidR="00A723F1" w:rsidRPr="00923116">
        <w:rPr>
          <w:sz w:val="24"/>
          <w:szCs w:val="24"/>
        </w:rPr>
        <w:t>e mirare</w:t>
      </w:r>
      <w:r w:rsidR="00945E4A" w:rsidRPr="00923116">
        <w:rPr>
          <w:sz w:val="24"/>
          <w:szCs w:val="24"/>
        </w:rPr>
        <w:t xml:space="preserve">, nel medio periodo, ad un alto grado di uniformità </w:t>
      </w:r>
      <w:r w:rsidR="00C665AB" w:rsidRPr="00923116">
        <w:rPr>
          <w:sz w:val="24"/>
          <w:szCs w:val="24"/>
        </w:rPr>
        <w:t xml:space="preserve">e integrità </w:t>
      </w:r>
      <w:r w:rsidR="00945E4A" w:rsidRPr="00923116">
        <w:rPr>
          <w:sz w:val="24"/>
          <w:szCs w:val="24"/>
        </w:rPr>
        <w:t>delle informazioni contabili, sia pur nel pieno rispetto dell’autonomia riconosciuta in ambito di didattica e ricerca.</w:t>
      </w:r>
    </w:p>
    <w:p w:rsidR="00AF039A" w:rsidRPr="00923116" w:rsidRDefault="00C665AB" w:rsidP="00AF039A">
      <w:pPr>
        <w:autoSpaceDE w:val="0"/>
        <w:autoSpaceDN w:val="0"/>
        <w:adjustRightInd w:val="0"/>
        <w:ind w:firstLine="720"/>
        <w:jc w:val="both"/>
        <w:rPr>
          <w:sz w:val="24"/>
          <w:szCs w:val="24"/>
        </w:rPr>
      </w:pPr>
      <w:r w:rsidRPr="00923116">
        <w:rPr>
          <w:sz w:val="24"/>
          <w:szCs w:val="24"/>
        </w:rPr>
        <w:lastRenderedPageBreak/>
        <w:t xml:space="preserve">Quanto sopra </w:t>
      </w:r>
      <w:r w:rsidR="00AF039A" w:rsidRPr="00923116">
        <w:rPr>
          <w:sz w:val="24"/>
          <w:szCs w:val="24"/>
        </w:rPr>
        <w:t xml:space="preserve">è </w:t>
      </w:r>
      <w:r w:rsidRPr="00923116">
        <w:rPr>
          <w:sz w:val="24"/>
          <w:szCs w:val="24"/>
        </w:rPr>
        <w:t>anche in stretta relazione con i</w:t>
      </w:r>
      <w:r w:rsidR="00AF039A" w:rsidRPr="00923116">
        <w:rPr>
          <w:sz w:val="24"/>
          <w:szCs w:val="24"/>
        </w:rPr>
        <w:t>l rispetto dei</w:t>
      </w:r>
      <w:r w:rsidR="00CB7B78" w:rsidRPr="00923116">
        <w:rPr>
          <w:sz w:val="24"/>
          <w:szCs w:val="24"/>
        </w:rPr>
        <w:t xml:space="preserve"> principi </w:t>
      </w:r>
      <w:r w:rsidR="00015B2E" w:rsidRPr="00923116">
        <w:rPr>
          <w:sz w:val="24"/>
          <w:szCs w:val="24"/>
        </w:rPr>
        <w:t xml:space="preserve">e </w:t>
      </w:r>
      <w:r w:rsidR="00AF039A" w:rsidRPr="00923116">
        <w:rPr>
          <w:sz w:val="24"/>
          <w:szCs w:val="24"/>
        </w:rPr>
        <w:t>de</w:t>
      </w:r>
      <w:r w:rsidR="00CB7B78" w:rsidRPr="00923116">
        <w:rPr>
          <w:sz w:val="24"/>
          <w:szCs w:val="24"/>
        </w:rPr>
        <w:t>i postulati enunciati all’art.2 del Decreto n.19 del</w:t>
      </w:r>
      <w:r w:rsidR="00B60811" w:rsidRPr="00923116">
        <w:rPr>
          <w:sz w:val="24"/>
          <w:szCs w:val="24"/>
        </w:rPr>
        <w:t xml:space="preserve"> 2014, ai quali l’Ateneo </w:t>
      </w:r>
      <w:r w:rsidR="00AF039A" w:rsidRPr="00923116">
        <w:rPr>
          <w:sz w:val="24"/>
          <w:szCs w:val="24"/>
        </w:rPr>
        <w:t>fa</w:t>
      </w:r>
      <w:r w:rsidR="00B60811" w:rsidRPr="00923116">
        <w:rPr>
          <w:sz w:val="24"/>
          <w:szCs w:val="24"/>
        </w:rPr>
        <w:t xml:space="preserve"> riferimento per la determinazione delle varie poste che compongono il budget</w:t>
      </w:r>
      <w:r w:rsidR="00814402" w:rsidRPr="00923116">
        <w:rPr>
          <w:sz w:val="24"/>
          <w:szCs w:val="24"/>
        </w:rPr>
        <w:t>.</w:t>
      </w:r>
    </w:p>
    <w:p w:rsidR="00C64FEF" w:rsidRPr="00A20E6F" w:rsidRDefault="00C64FEF" w:rsidP="00884306">
      <w:pPr>
        <w:autoSpaceDE w:val="0"/>
        <w:autoSpaceDN w:val="0"/>
        <w:adjustRightInd w:val="0"/>
        <w:ind w:firstLine="720"/>
        <w:jc w:val="both"/>
        <w:rPr>
          <w:sz w:val="24"/>
          <w:szCs w:val="24"/>
        </w:rPr>
      </w:pPr>
      <w:r w:rsidRPr="00A20E6F">
        <w:rPr>
          <w:sz w:val="24"/>
          <w:szCs w:val="24"/>
        </w:rPr>
        <w:t>Nel seguito della trattazione si d</w:t>
      </w:r>
      <w:r w:rsidR="00496D39" w:rsidRPr="00A20E6F">
        <w:rPr>
          <w:sz w:val="24"/>
          <w:szCs w:val="24"/>
        </w:rPr>
        <w:t>escriveranno in dettaglio le principali voci di ricavo, di costo e d’i</w:t>
      </w:r>
      <w:r w:rsidR="00A20E6F">
        <w:rPr>
          <w:sz w:val="24"/>
          <w:szCs w:val="24"/>
        </w:rPr>
        <w:t>nvestimento previste per il 2017</w:t>
      </w:r>
      <w:r w:rsidR="00496D39" w:rsidRPr="00A20E6F">
        <w:rPr>
          <w:sz w:val="24"/>
          <w:szCs w:val="24"/>
        </w:rPr>
        <w:t xml:space="preserve"> e per il triennio di riferimento, esplicitandone altresì le relazioni con gli obiettivi e la programmazione dell’Ateneo per il breve e medio periodo.</w:t>
      </w:r>
    </w:p>
    <w:p w:rsidR="00866B45" w:rsidRPr="00A20E6F" w:rsidRDefault="00496D39" w:rsidP="00866B45">
      <w:pPr>
        <w:autoSpaceDE w:val="0"/>
        <w:autoSpaceDN w:val="0"/>
        <w:adjustRightInd w:val="0"/>
        <w:ind w:firstLine="720"/>
        <w:jc w:val="both"/>
        <w:rPr>
          <w:sz w:val="24"/>
          <w:szCs w:val="24"/>
        </w:rPr>
      </w:pPr>
      <w:r w:rsidRPr="00A20E6F">
        <w:rPr>
          <w:sz w:val="24"/>
          <w:szCs w:val="24"/>
        </w:rPr>
        <w:t>Tali voci, dal punto di vista dell’amministrazione delle risorse,</w:t>
      </w:r>
      <w:r w:rsidR="00866B45" w:rsidRPr="00A20E6F">
        <w:rPr>
          <w:sz w:val="24"/>
          <w:szCs w:val="24"/>
        </w:rPr>
        <w:t xml:space="preserve"> assommano</w:t>
      </w:r>
      <w:r w:rsidRPr="00A20E6F">
        <w:rPr>
          <w:sz w:val="24"/>
          <w:szCs w:val="24"/>
        </w:rPr>
        <w:t xml:space="preserve"> </w:t>
      </w:r>
      <w:r w:rsidR="00866B45" w:rsidRPr="00A20E6F">
        <w:rPr>
          <w:sz w:val="24"/>
          <w:szCs w:val="24"/>
        </w:rPr>
        <w:t>i valori riconducibili alla</w:t>
      </w:r>
      <w:r w:rsidRPr="00A20E6F">
        <w:rPr>
          <w:sz w:val="24"/>
          <w:szCs w:val="24"/>
        </w:rPr>
        <w:t xml:space="preserve"> gestione</w:t>
      </w:r>
      <w:r w:rsidR="00866B45" w:rsidRPr="00A20E6F">
        <w:rPr>
          <w:sz w:val="24"/>
          <w:szCs w:val="24"/>
        </w:rPr>
        <w:t xml:space="preserve"> ordinaria a quelli vincolati allo svolgimento di attività di tipo progettuale.</w:t>
      </w:r>
    </w:p>
    <w:p w:rsidR="00496D39" w:rsidRPr="00C67A06" w:rsidRDefault="00866B45" w:rsidP="00866B45">
      <w:pPr>
        <w:autoSpaceDE w:val="0"/>
        <w:autoSpaceDN w:val="0"/>
        <w:adjustRightInd w:val="0"/>
        <w:ind w:firstLine="720"/>
        <w:jc w:val="both"/>
        <w:rPr>
          <w:sz w:val="24"/>
          <w:szCs w:val="24"/>
        </w:rPr>
      </w:pPr>
      <w:r w:rsidRPr="00C67A06">
        <w:rPr>
          <w:sz w:val="24"/>
          <w:szCs w:val="24"/>
        </w:rPr>
        <w:t xml:space="preserve"> Queste ultime sono largamente costituite dall’insieme dei finanziamenti vincolati alla realizzazione di obiettivi legati alla ricerca, ma comprendono anche le risorse destinate allo sviluppo dell’Ateneo e al miglioramento continuo dei processi, fattispecie che spesso rientrano nell’ambito amministrativo e gestionale più che in quello della docenza.</w:t>
      </w:r>
    </w:p>
    <w:p w:rsidR="00496D39" w:rsidRPr="00C67A06" w:rsidRDefault="00866B45" w:rsidP="00884306">
      <w:pPr>
        <w:autoSpaceDE w:val="0"/>
        <w:autoSpaceDN w:val="0"/>
        <w:adjustRightInd w:val="0"/>
        <w:ind w:firstLine="720"/>
        <w:jc w:val="both"/>
        <w:rPr>
          <w:sz w:val="24"/>
          <w:szCs w:val="24"/>
        </w:rPr>
      </w:pPr>
      <w:r w:rsidRPr="00C67A06">
        <w:rPr>
          <w:sz w:val="24"/>
          <w:szCs w:val="24"/>
        </w:rPr>
        <w:t xml:space="preserve">Dal punto di vista della struttura organizzativa, il budget </w:t>
      </w:r>
      <w:r w:rsidR="00156F79" w:rsidRPr="00C67A06">
        <w:rPr>
          <w:sz w:val="24"/>
          <w:szCs w:val="24"/>
        </w:rPr>
        <w:t>si compone di cinque sezionali, altresì denominati Unità Economiche, delle quali quattro sono rappresentative dei Dipartimenti del Politecnico e una dell’Amministrazione Centrale, la quale, a sua volta accoglie le previsioni relative a quattro Direzioni.</w:t>
      </w:r>
    </w:p>
    <w:p w:rsidR="0045022C" w:rsidRPr="00C67A06" w:rsidRDefault="00156F79" w:rsidP="00884306">
      <w:pPr>
        <w:autoSpaceDE w:val="0"/>
        <w:autoSpaceDN w:val="0"/>
        <w:adjustRightInd w:val="0"/>
        <w:ind w:firstLine="720"/>
        <w:jc w:val="both"/>
        <w:rPr>
          <w:sz w:val="24"/>
          <w:szCs w:val="24"/>
        </w:rPr>
      </w:pPr>
      <w:r w:rsidRPr="00C67A06">
        <w:rPr>
          <w:sz w:val="24"/>
          <w:szCs w:val="24"/>
        </w:rPr>
        <w:t xml:space="preserve">In particolare, l’organigramma </w:t>
      </w:r>
      <w:r w:rsidR="0045022C" w:rsidRPr="00C67A06">
        <w:rPr>
          <w:sz w:val="24"/>
          <w:szCs w:val="24"/>
        </w:rPr>
        <w:t>sulla base del quale sono assegnate le risorse di bilancio può così delinearsi:</w:t>
      </w:r>
    </w:p>
    <w:p w:rsidR="0045022C" w:rsidRPr="00C67A06" w:rsidRDefault="0045022C" w:rsidP="00884306">
      <w:pPr>
        <w:autoSpaceDE w:val="0"/>
        <w:autoSpaceDN w:val="0"/>
        <w:adjustRightInd w:val="0"/>
        <w:ind w:firstLine="720"/>
        <w:jc w:val="both"/>
        <w:rPr>
          <w:sz w:val="24"/>
          <w:szCs w:val="24"/>
        </w:rPr>
      </w:pPr>
    </w:p>
    <w:p w:rsidR="0045022C" w:rsidRPr="00C67A06" w:rsidRDefault="0045022C" w:rsidP="00884306">
      <w:pPr>
        <w:autoSpaceDE w:val="0"/>
        <w:autoSpaceDN w:val="0"/>
        <w:adjustRightInd w:val="0"/>
        <w:ind w:firstLine="720"/>
        <w:jc w:val="both"/>
        <w:rPr>
          <w:sz w:val="24"/>
          <w:szCs w:val="24"/>
        </w:rPr>
      </w:pPr>
      <w:r w:rsidRPr="00C67A06">
        <w:rPr>
          <w:sz w:val="24"/>
          <w:szCs w:val="24"/>
        </w:rPr>
        <w:t>U.E.1 - Amministrazione Centrale</w:t>
      </w:r>
    </w:p>
    <w:p w:rsidR="00156F79" w:rsidRPr="00C67A06" w:rsidRDefault="0045022C" w:rsidP="00884306">
      <w:pPr>
        <w:autoSpaceDE w:val="0"/>
        <w:autoSpaceDN w:val="0"/>
        <w:adjustRightInd w:val="0"/>
        <w:ind w:firstLine="720"/>
        <w:jc w:val="both"/>
      </w:pPr>
      <w:r w:rsidRPr="00C67A06">
        <w:t>- Direzione Generale</w:t>
      </w:r>
      <w:r w:rsidR="00156F79" w:rsidRPr="00C67A06">
        <w:t xml:space="preserve"> </w:t>
      </w:r>
    </w:p>
    <w:p w:rsidR="0045022C" w:rsidRPr="00C67A06" w:rsidRDefault="0045022C" w:rsidP="0045022C">
      <w:pPr>
        <w:autoSpaceDE w:val="0"/>
        <w:autoSpaceDN w:val="0"/>
        <w:adjustRightInd w:val="0"/>
        <w:ind w:firstLine="720"/>
        <w:jc w:val="both"/>
      </w:pPr>
      <w:r w:rsidRPr="00C67A06">
        <w:t>- Direzione Gestione Risorse e Servizi Istituzionali</w:t>
      </w:r>
    </w:p>
    <w:p w:rsidR="0045022C" w:rsidRPr="00C67A06" w:rsidRDefault="0045022C" w:rsidP="0045022C">
      <w:pPr>
        <w:autoSpaceDE w:val="0"/>
        <w:autoSpaceDN w:val="0"/>
        <w:adjustRightInd w:val="0"/>
        <w:ind w:firstLine="720"/>
        <w:jc w:val="both"/>
      </w:pPr>
      <w:r w:rsidRPr="00C67A06">
        <w:t xml:space="preserve">- </w:t>
      </w:r>
      <w:r w:rsidR="00ED751D" w:rsidRPr="00C67A06">
        <w:t>Direzione Qualità e Innovazione</w:t>
      </w:r>
    </w:p>
    <w:p w:rsidR="0045022C" w:rsidRPr="00C67A06" w:rsidRDefault="00ED751D" w:rsidP="0045022C">
      <w:pPr>
        <w:autoSpaceDE w:val="0"/>
        <w:autoSpaceDN w:val="0"/>
        <w:adjustRightInd w:val="0"/>
        <w:ind w:firstLine="720"/>
        <w:jc w:val="both"/>
      </w:pPr>
      <w:r w:rsidRPr="00C67A06">
        <w:t>- Direzione Affari Generali, Servizi Bibliotecari e Legali</w:t>
      </w:r>
    </w:p>
    <w:p w:rsidR="0045022C" w:rsidRPr="00C67A06" w:rsidRDefault="0045022C" w:rsidP="0045022C">
      <w:pPr>
        <w:autoSpaceDE w:val="0"/>
        <w:autoSpaceDN w:val="0"/>
        <w:adjustRightInd w:val="0"/>
        <w:ind w:firstLine="720"/>
        <w:jc w:val="both"/>
      </w:pPr>
    </w:p>
    <w:p w:rsidR="0045022C" w:rsidRPr="00C67A06" w:rsidRDefault="0045022C" w:rsidP="0045022C">
      <w:pPr>
        <w:autoSpaceDE w:val="0"/>
        <w:autoSpaceDN w:val="0"/>
        <w:adjustRightInd w:val="0"/>
        <w:ind w:firstLine="720"/>
        <w:jc w:val="both"/>
        <w:rPr>
          <w:sz w:val="24"/>
          <w:szCs w:val="24"/>
        </w:rPr>
      </w:pPr>
      <w:r w:rsidRPr="00C67A06">
        <w:rPr>
          <w:sz w:val="24"/>
          <w:szCs w:val="24"/>
        </w:rPr>
        <w:t>U.E.2 – Dipartimento</w:t>
      </w:r>
      <w:r w:rsidR="00ED751D" w:rsidRPr="00C67A06">
        <w:rPr>
          <w:sz w:val="24"/>
          <w:szCs w:val="24"/>
        </w:rPr>
        <w:t xml:space="preserve"> di Ingegneria Elettrica e dell’informazione (DEI)</w:t>
      </w:r>
    </w:p>
    <w:p w:rsidR="00ED751D" w:rsidRPr="00C67A06" w:rsidRDefault="005C7F15" w:rsidP="005C7F15">
      <w:pPr>
        <w:autoSpaceDE w:val="0"/>
        <w:autoSpaceDN w:val="0"/>
        <w:adjustRightInd w:val="0"/>
        <w:ind w:left="1560" w:hanging="840"/>
        <w:jc w:val="both"/>
        <w:rPr>
          <w:sz w:val="24"/>
          <w:szCs w:val="24"/>
        </w:rPr>
      </w:pPr>
      <w:r w:rsidRPr="00C67A06">
        <w:rPr>
          <w:sz w:val="24"/>
          <w:szCs w:val="24"/>
        </w:rPr>
        <w:t xml:space="preserve">U.E.3 – </w:t>
      </w:r>
      <w:r w:rsidR="00ED751D" w:rsidRPr="00C67A06">
        <w:rPr>
          <w:sz w:val="24"/>
          <w:szCs w:val="24"/>
        </w:rPr>
        <w:t>Dipartimento di</w:t>
      </w:r>
      <w:r w:rsidR="00D73C2A" w:rsidRPr="00C67A06">
        <w:rPr>
          <w:sz w:val="24"/>
          <w:szCs w:val="24"/>
        </w:rPr>
        <w:t xml:space="preserve"> </w:t>
      </w:r>
      <w:r w:rsidR="00ED751D" w:rsidRPr="00C67A06">
        <w:rPr>
          <w:sz w:val="24"/>
          <w:szCs w:val="24"/>
        </w:rPr>
        <w:t>Ingegneria Civile, Ambientale, Territoriale, Edile e di Chimica (DICATECH)</w:t>
      </w:r>
    </w:p>
    <w:p w:rsidR="00ED751D" w:rsidRPr="00C67A06" w:rsidRDefault="00ED751D" w:rsidP="0045022C">
      <w:pPr>
        <w:autoSpaceDE w:val="0"/>
        <w:autoSpaceDN w:val="0"/>
        <w:adjustRightInd w:val="0"/>
        <w:ind w:firstLine="720"/>
        <w:jc w:val="both"/>
        <w:rPr>
          <w:sz w:val="24"/>
          <w:szCs w:val="24"/>
        </w:rPr>
      </w:pPr>
      <w:r w:rsidRPr="00C67A06">
        <w:rPr>
          <w:sz w:val="24"/>
          <w:szCs w:val="24"/>
        </w:rPr>
        <w:t xml:space="preserve">U.E.4 – Dipartimento di </w:t>
      </w:r>
      <w:r w:rsidR="005C7F15" w:rsidRPr="00C67A06">
        <w:rPr>
          <w:sz w:val="24"/>
          <w:szCs w:val="24"/>
        </w:rPr>
        <w:t>Scienze dell’</w:t>
      </w:r>
      <w:r w:rsidRPr="00C67A06">
        <w:rPr>
          <w:sz w:val="24"/>
          <w:szCs w:val="24"/>
        </w:rPr>
        <w:t>Ingegneria Civile e dell’Architettura</w:t>
      </w:r>
      <w:r w:rsidR="005C7F15" w:rsidRPr="00C67A06">
        <w:rPr>
          <w:sz w:val="24"/>
          <w:szCs w:val="24"/>
        </w:rPr>
        <w:t xml:space="preserve"> (DICAR)</w:t>
      </w:r>
    </w:p>
    <w:p w:rsidR="0045022C" w:rsidRDefault="0045022C" w:rsidP="0045022C">
      <w:pPr>
        <w:autoSpaceDE w:val="0"/>
        <w:autoSpaceDN w:val="0"/>
        <w:adjustRightInd w:val="0"/>
        <w:ind w:firstLine="720"/>
        <w:jc w:val="both"/>
        <w:rPr>
          <w:sz w:val="24"/>
          <w:szCs w:val="24"/>
        </w:rPr>
      </w:pPr>
      <w:r w:rsidRPr="00C67A06">
        <w:rPr>
          <w:sz w:val="24"/>
          <w:szCs w:val="24"/>
        </w:rPr>
        <w:t>U.E.5 – Dipartimento</w:t>
      </w:r>
      <w:r w:rsidR="005C7F15" w:rsidRPr="00C67A06">
        <w:rPr>
          <w:sz w:val="24"/>
          <w:szCs w:val="24"/>
        </w:rPr>
        <w:t xml:space="preserve"> di Meccanica, Matematica e Management </w:t>
      </w:r>
      <w:r w:rsidR="00D73C2A" w:rsidRPr="00C67A06">
        <w:rPr>
          <w:sz w:val="24"/>
          <w:szCs w:val="24"/>
        </w:rPr>
        <w:t>(DMMM)</w:t>
      </w:r>
      <w:r w:rsidR="00F97103">
        <w:rPr>
          <w:sz w:val="24"/>
          <w:szCs w:val="24"/>
        </w:rPr>
        <w:t>.</w:t>
      </w:r>
    </w:p>
    <w:p w:rsidR="009B6AFD" w:rsidRDefault="009B6AFD" w:rsidP="0045022C">
      <w:pPr>
        <w:autoSpaceDE w:val="0"/>
        <w:autoSpaceDN w:val="0"/>
        <w:adjustRightInd w:val="0"/>
        <w:ind w:firstLine="720"/>
        <w:jc w:val="both"/>
        <w:rPr>
          <w:sz w:val="24"/>
          <w:szCs w:val="24"/>
        </w:rPr>
      </w:pPr>
    </w:p>
    <w:p w:rsidR="0045022C" w:rsidRPr="008C4829" w:rsidRDefault="009B6AFD" w:rsidP="00884306">
      <w:pPr>
        <w:autoSpaceDE w:val="0"/>
        <w:autoSpaceDN w:val="0"/>
        <w:adjustRightInd w:val="0"/>
        <w:ind w:firstLine="720"/>
        <w:jc w:val="both"/>
        <w:rPr>
          <w:color w:val="548DD4" w:themeColor="text2" w:themeTint="99"/>
        </w:rPr>
      </w:pPr>
      <w:r>
        <w:rPr>
          <w:sz w:val="24"/>
          <w:szCs w:val="24"/>
        </w:rPr>
        <w:t>Si menziona, infine, il Centro Interdipartimentale “Magna Grecia”, con sede a Taranto.</w:t>
      </w:r>
    </w:p>
    <w:p w:rsidR="00156F79" w:rsidRPr="008C4829" w:rsidRDefault="00156F79" w:rsidP="00884306">
      <w:pPr>
        <w:autoSpaceDE w:val="0"/>
        <w:autoSpaceDN w:val="0"/>
        <w:adjustRightInd w:val="0"/>
        <w:ind w:firstLine="720"/>
        <w:jc w:val="both"/>
        <w:rPr>
          <w:color w:val="548DD4" w:themeColor="text2" w:themeTint="99"/>
          <w:sz w:val="24"/>
          <w:szCs w:val="24"/>
        </w:rPr>
      </w:pPr>
    </w:p>
    <w:p w:rsidR="00496D39" w:rsidRPr="00C67A06" w:rsidRDefault="0045022C" w:rsidP="00884306">
      <w:pPr>
        <w:autoSpaceDE w:val="0"/>
        <w:autoSpaceDN w:val="0"/>
        <w:adjustRightInd w:val="0"/>
        <w:ind w:firstLine="720"/>
        <w:jc w:val="both"/>
        <w:rPr>
          <w:sz w:val="24"/>
          <w:szCs w:val="24"/>
        </w:rPr>
      </w:pPr>
      <w:r w:rsidRPr="00C67A06">
        <w:rPr>
          <w:sz w:val="24"/>
          <w:szCs w:val="24"/>
        </w:rPr>
        <w:t xml:space="preserve">Ciascuna Unità Economica può, a sua volta, </w:t>
      </w:r>
      <w:r w:rsidR="005C7F15" w:rsidRPr="00C67A06">
        <w:rPr>
          <w:sz w:val="24"/>
          <w:szCs w:val="24"/>
        </w:rPr>
        <w:t>s</w:t>
      </w:r>
      <w:r w:rsidR="004D7034" w:rsidRPr="00C67A06">
        <w:rPr>
          <w:sz w:val="24"/>
          <w:szCs w:val="24"/>
        </w:rPr>
        <w:t xml:space="preserve">comporsi </w:t>
      </w:r>
      <w:r w:rsidR="005C7F15" w:rsidRPr="00C67A06">
        <w:rPr>
          <w:sz w:val="24"/>
          <w:szCs w:val="24"/>
        </w:rPr>
        <w:t>in</w:t>
      </w:r>
      <w:r w:rsidR="004D7034" w:rsidRPr="00C67A06">
        <w:rPr>
          <w:sz w:val="24"/>
          <w:szCs w:val="24"/>
        </w:rPr>
        <w:t xml:space="preserve"> varie Unità Analitiche, che</w:t>
      </w:r>
      <w:r w:rsidR="002633A6" w:rsidRPr="00C67A06">
        <w:rPr>
          <w:sz w:val="24"/>
          <w:szCs w:val="24"/>
        </w:rPr>
        <w:t>,</w:t>
      </w:r>
      <w:r w:rsidR="004D7034" w:rsidRPr="00C67A06">
        <w:rPr>
          <w:sz w:val="24"/>
          <w:szCs w:val="24"/>
        </w:rPr>
        <w:t xml:space="preserve"> pur non costituendo sezionali autonomi di budget</w:t>
      </w:r>
      <w:r w:rsidR="002633A6" w:rsidRPr="00C67A06">
        <w:rPr>
          <w:sz w:val="24"/>
          <w:szCs w:val="24"/>
        </w:rPr>
        <w:t>,</w:t>
      </w:r>
      <w:r w:rsidR="004D7034" w:rsidRPr="00C67A06">
        <w:rPr>
          <w:sz w:val="24"/>
          <w:szCs w:val="24"/>
        </w:rPr>
        <w:t xml:space="preserve"> vedono suddivise e assegnate le risorse relative alle attività di propria pertinenza. In fase di contabilizzazione le Unità Analitiche sono tracciate insieme ai ricavi e ai costi effettivamente prodotti nel proprio ambito, in maniera da approfondire il dettaglio delle informazioni</w:t>
      </w:r>
      <w:r w:rsidR="00C53911" w:rsidRPr="00C67A06">
        <w:rPr>
          <w:sz w:val="24"/>
          <w:szCs w:val="24"/>
        </w:rPr>
        <w:t xml:space="preserve"> desumibili dalla gestione economico-finanziaria.</w:t>
      </w:r>
    </w:p>
    <w:p w:rsidR="00B712A5" w:rsidRDefault="002C65D1" w:rsidP="00884306">
      <w:pPr>
        <w:autoSpaceDE w:val="0"/>
        <w:autoSpaceDN w:val="0"/>
        <w:adjustRightInd w:val="0"/>
        <w:ind w:firstLine="720"/>
        <w:jc w:val="both"/>
        <w:rPr>
          <w:sz w:val="24"/>
          <w:szCs w:val="24"/>
        </w:rPr>
      </w:pPr>
      <w:r w:rsidRPr="00C67A06">
        <w:rPr>
          <w:sz w:val="24"/>
          <w:szCs w:val="24"/>
        </w:rPr>
        <w:t>Per quanto attiene l’applicazione di prassi e procedure scaturenti dalle norme citate all’ambito specifico del Politecnico</w:t>
      </w:r>
      <w:r w:rsidR="00A76708" w:rsidRPr="00C67A06">
        <w:rPr>
          <w:sz w:val="24"/>
          <w:szCs w:val="24"/>
        </w:rPr>
        <w:t xml:space="preserve">, </w:t>
      </w:r>
      <w:r w:rsidRPr="00C67A06">
        <w:rPr>
          <w:sz w:val="24"/>
          <w:szCs w:val="24"/>
        </w:rPr>
        <w:t>ad inclusione delle variazioni rispetto alle previsioni originarie, si fa rimando a quanto previsto dal Regolamento di Ateneo per l’Amministrazione la Finanza e la Contabilità, emanato con Decreto Rettorale n.441 del 2015 del 7 agosto 2015</w:t>
      </w:r>
      <w:r w:rsidR="00A76708" w:rsidRPr="00C67A06">
        <w:rPr>
          <w:sz w:val="24"/>
          <w:szCs w:val="24"/>
        </w:rPr>
        <w:t>.</w:t>
      </w:r>
    </w:p>
    <w:p w:rsidR="00744996" w:rsidRDefault="00744996" w:rsidP="00884306">
      <w:pPr>
        <w:autoSpaceDE w:val="0"/>
        <w:autoSpaceDN w:val="0"/>
        <w:adjustRightInd w:val="0"/>
        <w:ind w:firstLine="720"/>
        <w:jc w:val="both"/>
        <w:rPr>
          <w:sz w:val="24"/>
          <w:szCs w:val="24"/>
        </w:rPr>
      </w:pPr>
      <w:r>
        <w:rPr>
          <w:sz w:val="24"/>
          <w:szCs w:val="24"/>
        </w:rPr>
        <w:t xml:space="preserve">Infine, in stretta relazione con </w:t>
      </w:r>
      <w:r w:rsidR="00DD127F">
        <w:rPr>
          <w:sz w:val="24"/>
          <w:szCs w:val="24"/>
        </w:rPr>
        <w:t>le previsioni del triennio di riferimento</w:t>
      </w:r>
      <w:r w:rsidR="00C97BA9">
        <w:rPr>
          <w:sz w:val="24"/>
          <w:szCs w:val="24"/>
        </w:rPr>
        <w:t>, è opportuno sin d’ora richiamare la Legge di Bilancio 2017, già approvata dalla Camera dei Deputati e dal Senato, che introduce alcune importanti novità riguardanti gli Atenei, tra le quali si cita la parziale revisione del sistema di contribuzione studentesca e l’avvio di accordi e programmi per lo sviluppo della ricerca scientifica a livello nazionale.</w:t>
      </w:r>
    </w:p>
    <w:p w:rsidR="00C97BA9" w:rsidRPr="00107A97" w:rsidRDefault="00107A97" w:rsidP="00884306">
      <w:pPr>
        <w:autoSpaceDE w:val="0"/>
        <w:autoSpaceDN w:val="0"/>
        <w:adjustRightInd w:val="0"/>
        <w:ind w:firstLine="720"/>
        <w:jc w:val="both"/>
        <w:rPr>
          <w:sz w:val="24"/>
          <w:szCs w:val="24"/>
        </w:rPr>
      </w:pPr>
      <w:r w:rsidRPr="00107A97">
        <w:rPr>
          <w:sz w:val="24"/>
          <w:szCs w:val="24"/>
        </w:rPr>
        <w:lastRenderedPageBreak/>
        <w:t>S</w:t>
      </w:r>
      <w:r w:rsidR="00C97BA9" w:rsidRPr="00107A97">
        <w:rPr>
          <w:sz w:val="24"/>
          <w:szCs w:val="24"/>
        </w:rPr>
        <w:t>i fa riferimento</w:t>
      </w:r>
      <w:r w:rsidR="00BB2359">
        <w:rPr>
          <w:sz w:val="24"/>
          <w:szCs w:val="24"/>
        </w:rPr>
        <w:t>, in particolare,</w:t>
      </w:r>
      <w:r w:rsidR="00C97BA9" w:rsidRPr="00107A97">
        <w:rPr>
          <w:sz w:val="24"/>
          <w:szCs w:val="24"/>
        </w:rPr>
        <w:t xml:space="preserve"> all’</w:t>
      </w:r>
      <w:r w:rsidRPr="00107A97">
        <w:rPr>
          <w:sz w:val="24"/>
          <w:szCs w:val="24"/>
        </w:rPr>
        <w:t xml:space="preserve">art.1, commi da 252 a 264 </w:t>
      </w:r>
      <w:r w:rsidR="00BB2359">
        <w:rPr>
          <w:sz w:val="24"/>
          <w:szCs w:val="24"/>
        </w:rPr>
        <w:t xml:space="preserve">per le modifiche in materia di contribuzione studentesca, </w:t>
      </w:r>
      <w:r w:rsidRPr="00107A97">
        <w:rPr>
          <w:sz w:val="24"/>
          <w:szCs w:val="24"/>
        </w:rPr>
        <w:t xml:space="preserve">e ad altre specifiche disposizioni riguardanti lo sviluppo industriale e </w:t>
      </w:r>
      <w:r>
        <w:rPr>
          <w:sz w:val="24"/>
          <w:szCs w:val="24"/>
        </w:rPr>
        <w:t>la costituzione di poli dedicati all’avvio di nuovi percorsi scientifici di notevole rilevanza</w:t>
      </w:r>
      <w:r w:rsidR="004A20CA">
        <w:rPr>
          <w:sz w:val="24"/>
          <w:szCs w:val="24"/>
        </w:rPr>
        <w:t xml:space="preserve"> (c.d. Dipartimenti Universitari di Eccellenza, commi dal 314 al 334 dell’articolo unico).</w:t>
      </w:r>
    </w:p>
    <w:p w:rsidR="00B712A5" w:rsidRPr="00EF3A60" w:rsidRDefault="005554AF" w:rsidP="00884306">
      <w:pPr>
        <w:autoSpaceDE w:val="0"/>
        <w:autoSpaceDN w:val="0"/>
        <w:adjustRightInd w:val="0"/>
        <w:ind w:firstLine="720"/>
        <w:jc w:val="both"/>
        <w:rPr>
          <w:sz w:val="24"/>
          <w:szCs w:val="24"/>
        </w:rPr>
      </w:pPr>
      <w:r>
        <w:rPr>
          <w:sz w:val="24"/>
          <w:szCs w:val="24"/>
        </w:rPr>
        <w:t>Pertanto, n</w:t>
      </w:r>
      <w:r w:rsidR="00EF3A60" w:rsidRPr="00EF3A60">
        <w:rPr>
          <w:sz w:val="24"/>
          <w:szCs w:val="24"/>
        </w:rPr>
        <w:t>elle parti successive della presente Nota Illustrativa, saranno fornite specifiche indicazioni circa i criteri di determinazione dei valori</w:t>
      </w:r>
      <w:r>
        <w:rPr>
          <w:sz w:val="24"/>
          <w:szCs w:val="24"/>
        </w:rPr>
        <w:t xml:space="preserve"> di budget, anche </w:t>
      </w:r>
      <w:r w:rsidR="00DD127F">
        <w:rPr>
          <w:sz w:val="24"/>
          <w:szCs w:val="24"/>
        </w:rPr>
        <w:t xml:space="preserve">nell’ottica di quanto indicato nel </w:t>
      </w:r>
      <w:r w:rsidR="00EF3A60" w:rsidRPr="00EF3A60">
        <w:rPr>
          <w:sz w:val="24"/>
          <w:szCs w:val="24"/>
        </w:rPr>
        <w:t>citato documento di programmazione.</w:t>
      </w:r>
    </w:p>
    <w:p w:rsidR="00CB7B78" w:rsidRPr="008C4829" w:rsidRDefault="00CB7B78" w:rsidP="00884306">
      <w:pPr>
        <w:autoSpaceDE w:val="0"/>
        <w:autoSpaceDN w:val="0"/>
        <w:adjustRightInd w:val="0"/>
        <w:ind w:firstLine="720"/>
        <w:jc w:val="both"/>
        <w:rPr>
          <w:color w:val="548DD4" w:themeColor="text2" w:themeTint="99"/>
          <w:sz w:val="24"/>
          <w:szCs w:val="24"/>
        </w:rPr>
      </w:pPr>
    </w:p>
    <w:p w:rsidR="00CB7B78" w:rsidRPr="008C4829" w:rsidRDefault="00CB7B78" w:rsidP="00884306">
      <w:pPr>
        <w:autoSpaceDE w:val="0"/>
        <w:autoSpaceDN w:val="0"/>
        <w:adjustRightInd w:val="0"/>
        <w:ind w:firstLine="720"/>
        <w:jc w:val="both"/>
        <w:rPr>
          <w:color w:val="548DD4" w:themeColor="text2" w:themeTint="99"/>
          <w:sz w:val="24"/>
          <w:szCs w:val="24"/>
        </w:rPr>
      </w:pPr>
    </w:p>
    <w:p w:rsidR="00182439" w:rsidRPr="00E14E65" w:rsidRDefault="00182439" w:rsidP="00E14E65">
      <w:pPr>
        <w:pStyle w:val="Titolo1"/>
        <w:rPr>
          <w:rFonts w:ascii="Times New Roman" w:hAnsi="Times New Roman"/>
          <w:b/>
          <w:i w:val="0"/>
          <w:sz w:val="24"/>
          <w:szCs w:val="24"/>
        </w:rPr>
      </w:pPr>
      <w:bookmarkStart w:id="2" w:name="_Toc469659510"/>
      <w:r w:rsidRPr="00E14E65">
        <w:rPr>
          <w:rFonts w:ascii="Times New Roman" w:hAnsi="Times New Roman"/>
          <w:b/>
          <w:i w:val="0"/>
          <w:sz w:val="24"/>
          <w:szCs w:val="24"/>
        </w:rPr>
        <w:t>2.</w:t>
      </w:r>
      <w:r w:rsidR="00306E0A" w:rsidRPr="00E14E65">
        <w:rPr>
          <w:rFonts w:ascii="Times New Roman" w:hAnsi="Times New Roman"/>
          <w:b/>
          <w:i w:val="0"/>
          <w:sz w:val="24"/>
          <w:szCs w:val="24"/>
        </w:rPr>
        <w:t>BUDGET ECONOMICO</w:t>
      </w:r>
      <w:bookmarkEnd w:id="2"/>
    </w:p>
    <w:p w:rsidR="009A728E" w:rsidRPr="008C4829" w:rsidRDefault="009A728E" w:rsidP="00182439">
      <w:pPr>
        <w:jc w:val="both"/>
        <w:rPr>
          <w:b/>
          <w:color w:val="548DD4" w:themeColor="text2" w:themeTint="99"/>
          <w:sz w:val="24"/>
          <w:szCs w:val="24"/>
        </w:rPr>
      </w:pPr>
    </w:p>
    <w:p w:rsidR="009A728E" w:rsidRPr="00DD69D8" w:rsidRDefault="009A728E" w:rsidP="00182439">
      <w:pPr>
        <w:jc w:val="both"/>
        <w:rPr>
          <w:sz w:val="24"/>
          <w:szCs w:val="24"/>
        </w:rPr>
      </w:pPr>
      <w:r w:rsidRPr="008C4829">
        <w:rPr>
          <w:b/>
          <w:color w:val="548DD4" w:themeColor="text2" w:themeTint="99"/>
          <w:sz w:val="24"/>
          <w:szCs w:val="24"/>
        </w:rPr>
        <w:tab/>
      </w:r>
      <w:r w:rsidRPr="00DD69D8">
        <w:rPr>
          <w:sz w:val="24"/>
          <w:szCs w:val="24"/>
        </w:rPr>
        <w:t xml:space="preserve">Si descrivono nel seguito le principali voci di ricavo e di costo che contribuiscono alla redazione del budget economico, </w:t>
      </w:r>
      <w:r w:rsidR="00E1470E" w:rsidRPr="00DD69D8">
        <w:rPr>
          <w:sz w:val="24"/>
          <w:szCs w:val="24"/>
        </w:rPr>
        <w:t>volgendo prioritaria attenzione alla descrizione delle relazioni intercorrenti tra previsioni di entrata</w:t>
      </w:r>
      <w:r w:rsidR="00700A4E" w:rsidRPr="00DD69D8">
        <w:rPr>
          <w:sz w:val="24"/>
          <w:szCs w:val="24"/>
        </w:rPr>
        <w:t xml:space="preserve"> e di uscita, nonché alla </w:t>
      </w:r>
      <w:r w:rsidR="0067581D" w:rsidRPr="00DD69D8">
        <w:rPr>
          <w:sz w:val="24"/>
          <w:szCs w:val="24"/>
        </w:rPr>
        <w:t>distinzio</w:t>
      </w:r>
      <w:r w:rsidR="00B712A5" w:rsidRPr="00DD69D8">
        <w:rPr>
          <w:sz w:val="24"/>
          <w:szCs w:val="24"/>
        </w:rPr>
        <w:t xml:space="preserve">ne delle fonti di finanziamento, proprie o </w:t>
      </w:r>
      <w:r w:rsidR="006D7E1F" w:rsidRPr="00DD69D8">
        <w:rPr>
          <w:sz w:val="24"/>
          <w:szCs w:val="24"/>
        </w:rPr>
        <w:t xml:space="preserve">di </w:t>
      </w:r>
      <w:r w:rsidR="00B712A5" w:rsidRPr="00DD69D8">
        <w:rPr>
          <w:sz w:val="24"/>
          <w:szCs w:val="24"/>
        </w:rPr>
        <w:t>soggetti terzi.</w:t>
      </w:r>
      <w:r w:rsidR="009736CD" w:rsidRPr="00DD69D8">
        <w:rPr>
          <w:sz w:val="24"/>
          <w:szCs w:val="24"/>
        </w:rPr>
        <w:t xml:space="preserve"> </w:t>
      </w:r>
    </w:p>
    <w:p w:rsidR="00DD69D8" w:rsidRDefault="00B712A5" w:rsidP="00182439">
      <w:pPr>
        <w:jc w:val="both"/>
        <w:rPr>
          <w:sz w:val="24"/>
          <w:szCs w:val="24"/>
        </w:rPr>
      </w:pPr>
      <w:r w:rsidRPr="008C4829">
        <w:rPr>
          <w:color w:val="548DD4" w:themeColor="text2" w:themeTint="99"/>
          <w:sz w:val="24"/>
          <w:szCs w:val="24"/>
        </w:rPr>
        <w:tab/>
      </w:r>
      <w:r w:rsidRPr="00DD69D8">
        <w:rPr>
          <w:sz w:val="24"/>
          <w:szCs w:val="24"/>
        </w:rPr>
        <w:t xml:space="preserve">Fermo restando il principio di competenza economica </w:t>
      </w:r>
      <w:r w:rsidR="006859C0" w:rsidRPr="00DD69D8">
        <w:rPr>
          <w:sz w:val="24"/>
          <w:szCs w:val="24"/>
        </w:rPr>
        <w:t>sotteso</w:t>
      </w:r>
      <w:r w:rsidR="006F2738" w:rsidRPr="00DD69D8">
        <w:rPr>
          <w:sz w:val="24"/>
          <w:szCs w:val="24"/>
        </w:rPr>
        <w:t xml:space="preserve"> alla determinazione di tutte le poste</w:t>
      </w:r>
      <w:r w:rsidRPr="00DD69D8">
        <w:rPr>
          <w:sz w:val="24"/>
          <w:szCs w:val="24"/>
        </w:rPr>
        <w:t xml:space="preserve">, </w:t>
      </w:r>
      <w:r w:rsidR="006F2738" w:rsidRPr="00DD69D8">
        <w:rPr>
          <w:sz w:val="24"/>
          <w:szCs w:val="24"/>
        </w:rPr>
        <w:t>sembra utile esplicitare che i costi possono trovare copertura anche in risorse provenienti dai precedenti esercizi e non utilizzate del tutto, o in parte.</w:t>
      </w:r>
    </w:p>
    <w:p w:rsidR="009736CD" w:rsidRPr="00DD69D8" w:rsidRDefault="009736CD" w:rsidP="00182439">
      <w:pPr>
        <w:jc w:val="both"/>
        <w:rPr>
          <w:sz w:val="24"/>
          <w:szCs w:val="24"/>
        </w:rPr>
      </w:pPr>
      <w:r w:rsidRPr="008C4829">
        <w:rPr>
          <w:color w:val="548DD4" w:themeColor="text2" w:themeTint="99"/>
          <w:sz w:val="24"/>
          <w:szCs w:val="24"/>
        </w:rPr>
        <w:tab/>
      </w:r>
      <w:r w:rsidRPr="00DD69D8">
        <w:rPr>
          <w:sz w:val="24"/>
          <w:szCs w:val="24"/>
        </w:rPr>
        <w:t xml:space="preserve">In virtù delle norme vigenti, </w:t>
      </w:r>
      <w:r w:rsidR="00DD69D8" w:rsidRPr="00DD69D8">
        <w:rPr>
          <w:sz w:val="24"/>
          <w:szCs w:val="24"/>
        </w:rPr>
        <w:t>le</w:t>
      </w:r>
      <w:r w:rsidRPr="00DD69D8">
        <w:rPr>
          <w:sz w:val="24"/>
          <w:szCs w:val="24"/>
        </w:rPr>
        <w:t xml:space="preserve"> quote </w:t>
      </w:r>
      <w:r w:rsidR="00DD69D8" w:rsidRPr="00DD69D8">
        <w:rPr>
          <w:sz w:val="24"/>
          <w:szCs w:val="24"/>
        </w:rPr>
        <w:t xml:space="preserve">riconducibili al precedente sistema di contabilità finanziaria (esercizio 2014 e precedenti) </w:t>
      </w:r>
      <w:r w:rsidRPr="00DD69D8">
        <w:rPr>
          <w:sz w:val="24"/>
          <w:szCs w:val="24"/>
        </w:rPr>
        <w:t xml:space="preserve">saranno </w:t>
      </w:r>
      <w:r w:rsidR="006859C0" w:rsidRPr="00DD69D8">
        <w:rPr>
          <w:sz w:val="24"/>
          <w:szCs w:val="24"/>
        </w:rPr>
        <w:t xml:space="preserve">comunque </w:t>
      </w:r>
      <w:r w:rsidRPr="00DD69D8">
        <w:rPr>
          <w:sz w:val="24"/>
          <w:szCs w:val="24"/>
        </w:rPr>
        <w:t>evidenziate in maniera distinta dai valori registrati a decorrere dall’adozione del sistema economico-patrimoniale.</w:t>
      </w:r>
    </w:p>
    <w:p w:rsidR="00306E0A" w:rsidRPr="00DD69D8" w:rsidRDefault="00306E0A" w:rsidP="00182439">
      <w:pPr>
        <w:jc w:val="both"/>
        <w:rPr>
          <w:sz w:val="24"/>
          <w:szCs w:val="24"/>
        </w:rPr>
      </w:pPr>
    </w:p>
    <w:p w:rsidR="00306E0A" w:rsidRPr="00BB133C" w:rsidRDefault="00306E0A" w:rsidP="001108F0">
      <w:pPr>
        <w:pStyle w:val="Titolo2"/>
        <w:jc w:val="left"/>
        <w:rPr>
          <w:i/>
          <w:u w:val="single"/>
        </w:rPr>
      </w:pPr>
      <w:bookmarkStart w:id="3" w:name="_Toc469659511"/>
      <w:r w:rsidRPr="00BB133C">
        <w:rPr>
          <w:i/>
          <w:u w:val="single"/>
        </w:rPr>
        <w:t>2.1 Ricavi</w:t>
      </w:r>
      <w:bookmarkEnd w:id="3"/>
    </w:p>
    <w:p w:rsidR="00306E0A" w:rsidRPr="001A333D" w:rsidRDefault="00306E0A" w:rsidP="00182439">
      <w:pPr>
        <w:jc w:val="both"/>
        <w:rPr>
          <w:b/>
          <w:sz w:val="24"/>
          <w:szCs w:val="24"/>
        </w:rPr>
      </w:pPr>
    </w:p>
    <w:p w:rsidR="001D05EA" w:rsidRPr="00076C41" w:rsidRDefault="00306E0A" w:rsidP="001108F0">
      <w:pPr>
        <w:pStyle w:val="Titolo3"/>
        <w:ind w:left="0"/>
        <w:jc w:val="both"/>
        <w:rPr>
          <w:rFonts w:eastAsiaTheme="minorHAnsi"/>
          <w:i/>
        </w:rPr>
      </w:pPr>
      <w:bookmarkStart w:id="4" w:name="_Toc469659512"/>
      <w:r w:rsidRPr="00076C41">
        <w:rPr>
          <w:i/>
        </w:rPr>
        <w:t>2.1.1 Fondo per il Finanziamento Ordinario</w:t>
      </w:r>
      <w:bookmarkEnd w:id="4"/>
    </w:p>
    <w:p w:rsidR="001A333D" w:rsidRDefault="001A333D" w:rsidP="001D05EA">
      <w:pPr>
        <w:ind w:firstLine="720"/>
        <w:jc w:val="both"/>
        <w:rPr>
          <w:color w:val="548DD4" w:themeColor="text2" w:themeTint="99"/>
          <w:sz w:val="24"/>
          <w:szCs w:val="24"/>
        </w:rPr>
      </w:pPr>
    </w:p>
    <w:p w:rsidR="001A333D" w:rsidRDefault="001A333D" w:rsidP="001D05EA">
      <w:pPr>
        <w:ind w:firstLine="720"/>
        <w:jc w:val="both"/>
        <w:rPr>
          <w:color w:val="548DD4" w:themeColor="text2" w:themeTint="99"/>
          <w:sz w:val="24"/>
          <w:szCs w:val="24"/>
        </w:rPr>
      </w:pPr>
    </w:p>
    <w:p w:rsidR="00780744" w:rsidRDefault="009B1187" w:rsidP="00780744">
      <w:pPr>
        <w:ind w:firstLine="708"/>
        <w:jc w:val="both"/>
        <w:rPr>
          <w:sz w:val="24"/>
          <w:szCs w:val="24"/>
        </w:rPr>
      </w:pPr>
      <w:r>
        <w:rPr>
          <w:sz w:val="24"/>
          <w:szCs w:val="24"/>
        </w:rPr>
        <w:t xml:space="preserve">La previsione del </w:t>
      </w:r>
      <w:r w:rsidRPr="001C13CE">
        <w:rPr>
          <w:b/>
          <w:sz w:val="24"/>
          <w:szCs w:val="24"/>
        </w:rPr>
        <w:t>Fondo per il Finanziamento Ordinario 2</w:t>
      </w:r>
      <w:r w:rsidR="00780744" w:rsidRPr="001C13CE">
        <w:rPr>
          <w:b/>
          <w:sz w:val="24"/>
          <w:szCs w:val="24"/>
        </w:rPr>
        <w:t>017</w:t>
      </w:r>
      <w:r w:rsidR="00780744">
        <w:rPr>
          <w:sz w:val="24"/>
          <w:szCs w:val="24"/>
        </w:rPr>
        <w:t xml:space="preserve"> è </w:t>
      </w:r>
      <w:r>
        <w:rPr>
          <w:sz w:val="24"/>
          <w:szCs w:val="24"/>
        </w:rPr>
        <w:t xml:space="preserve">di </w:t>
      </w:r>
      <w:r w:rsidRPr="001C13CE">
        <w:rPr>
          <w:b/>
          <w:sz w:val="24"/>
          <w:szCs w:val="24"/>
        </w:rPr>
        <w:t>€</w:t>
      </w:r>
      <w:r w:rsidR="00780744" w:rsidRPr="001C13CE">
        <w:rPr>
          <w:b/>
          <w:sz w:val="24"/>
          <w:szCs w:val="24"/>
        </w:rPr>
        <w:t xml:space="preserve"> 37.823.726,00</w:t>
      </w:r>
      <w:r>
        <w:rPr>
          <w:sz w:val="24"/>
          <w:szCs w:val="24"/>
        </w:rPr>
        <w:t xml:space="preserve">, comprensivo della </w:t>
      </w:r>
      <w:r w:rsidR="000D08EA">
        <w:rPr>
          <w:sz w:val="24"/>
          <w:szCs w:val="24"/>
        </w:rPr>
        <w:t xml:space="preserve">quota base e delle altre voci, tra le quali le quote già comunicate dal M.I.U.R. in relazione ai piani straordinari per professori ordinari e ricercatori </w:t>
      </w:r>
      <w:r w:rsidR="00780744" w:rsidRPr="005D61B0">
        <w:rPr>
          <w:sz w:val="24"/>
          <w:szCs w:val="24"/>
        </w:rPr>
        <w:t>ai sensi dell’art. 24, comma 3, lettera b), della Legge 30 dicembre 2010, n. 240</w:t>
      </w:r>
      <w:r w:rsidR="00780744">
        <w:rPr>
          <w:sz w:val="24"/>
          <w:szCs w:val="24"/>
        </w:rPr>
        <w:t>.</w:t>
      </w:r>
    </w:p>
    <w:p w:rsidR="00780744" w:rsidRDefault="00780744" w:rsidP="00780744">
      <w:pPr>
        <w:ind w:firstLine="708"/>
        <w:jc w:val="both"/>
        <w:rPr>
          <w:sz w:val="24"/>
          <w:szCs w:val="24"/>
        </w:rPr>
      </w:pPr>
      <w:r>
        <w:rPr>
          <w:sz w:val="24"/>
          <w:szCs w:val="24"/>
        </w:rPr>
        <w:t>L’importo indicato è stimato in aumento dello 0,5 % del F.F.O. del 2016, con le precisazioni esplicitate nel seguito</w:t>
      </w:r>
      <w:r w:rsidR="00BF03B3">
        <w:rPr>
          <w:sz w:val="24"/>
          <w:szCs w:val="24"/>
        </w:rPr>
        <w:t xml:space="preserve">. Inoltre, la previsione è considerata stabile nell’arco del triennio di riferimento, ferme restando le valutazioni che potranno emergere </w:t>
      </w:r>
      <w:r w:rsidR="001C13CE">
        <w:rPr>
          <w:sz w:val="24"/>
          <w:szCs w:val="24"/>
        </w:rPr>
        <w:t>a seguito delle assegnazioni effettive 2017.</w:t>
      </w:r>
    </w:p>
    <w:p w:rsidR="009B1187" w:rsidRDefault="001C13CE" w:rsidP="001C13CE">
      <w:pPr>
        <w:ind w:firstLine="708"/>
        <w:jc w:val="both"/>
        <w:rPr>
          <w:sz w:val="24"/>
          <w:szCs w:val="24"/>
        </w:rPr>
      </w:pPr>
      <w:r>
        <w:rPr>
          <w:sz w:val="24"/>
          <w:szCs w:val="24"/>
        </w:rPr>
        <w:t xml:space="preserve">In merito ai criteri adottati per la determinazione del fondo, </w:t>
      </w:r>
      <w:r w:rsidR="001A333D" w:rsidRPr="001A333D">
        <w:rPr>
          <w:sz w:val="24"/>
          <w:szCs w:val="24"/>
        </w:rPr>
        <w:t>appare prioritario evidenziare che, a decorrere dall’esercizio 2015, in virtù dell’effettiva applicazione di varie norme</w:t>
      </w:r>
      <w:r w:rsidR="001A333D">
        <w:rPr>
          <w:sz w:val="24"/>
          <w:szCs w:val="24"/>
        </w:rPr>
        <w:t xml:space="preserve">, il Ministero ha profondamente rivisitato i criteri di assegnazione del fondo stesso. Pertanto, </w:t>
      </w:r>
      <w:r w:rsidR="009B1187">
        <w:rPr>
          <w:sz w:val="24"/>
          <w:szCs w:val="24"/>
        </w:rPr>
        <w:t>non si ritiene utile riferirsi ad un’analisi approfondita dei dati storici, privilegiandosi l’accostamento tra i valori rilevati per il 2016 e il contesto che si prospetta per l’esercizio a venire.</w:t>
      </w:r>
    </w:p>
    <w:p w:rsidR="001C13CE" w:rsidRDefault="001C13CE" w:rsidP="001C13CE">
      <w:pPr>
        <w:ind w:firstLine="708"/>
        <w:jc w:val="both"/>
        <w:rPr>
          <w:sz w:val="24"/>
          <w:szCs w:val="24"/>
        </w:rPr>
      </w:pPr>
      <w:r>
        <w:rPr>
          <w:sz w:val="24"/>
          <w:szCs w:val="24"/>
        </w:rPr>
        <w:t>In tal senso, le assegnazioni effettive 2016 ad oggi comunicate dal Ministero sono:</w:t>
      </w:r>
    </w:p>
    <w:p w:rsidR="00C916FF" w:rsidRDefault="00C916FF" w:rsidP="001C13CE">
      <w:pPr>
        <w:ind w:firstLine="708"/>
        <w:jc w:val="both"/>
        <w:rPr>
          <w:sz w:val="24"/>
          <w:szCs w:val="24"/>
        </w:rPr>
      </w:pPr>
    </w:p>
    <w:p w:rsidR="001C13CE" w:rsidRPr="00C916FF" w:rsidRDefault="00B82FE0" w:rsidP="00736B8D">
      <w:pPr>
        <w:pStyle w:val="Paragrafoelenco"/>
        <w:numPr>
          <w:ilvl w:val="0"/>
          <w:numId w:val="1"/>
        </w:numPr>
        <w:jc w:val="both"/>
        <w:rPr>
          <w:i/>
          <w:sz w:val="24"/>
          <w:szCs w:val="24"/>
        </w:rPr>
      </w:pPr>
      <w:r>
        <w:rPr>
          <w:i/>
          <w:sz w:val="24"/>
          <w:szCs w:val="24"/>
        </w:rPr>
        <w:t>€ 29</w:t>
      </w:r>
      <w:r w:rsidR="00C916FF" w:rsidRPr="00C916FF">
        <w:rPr>
          <w:i/>
          <w:sz w:val="24"/>
          <w:szCs w:val="24"/>
        </w:rPr>
        <w:t>.511.319,00</w:t>
      </w:r>
      <w:r w:rsidR="001C13CE" w:rsidRPr="00C916FF">
        <w:rPr>
          <w:i/>
          <w:sz w:val="24"/>
          <w:szCs w:val="24"/>
        </w:rPr>
        <w:t>: quota base (comprensiva della prog. trienn.);</w:t>
      </w:r>
    </w:p>
    <w:p w:rsidR="001C13CE" w:rsidRPr="00C916FF" w:rsidRDefault="00C916FF" w:rsidP="00736B8D">
      <w:pPr>
        <w:pStyle w:val="Paragrafoelenco"/>
        <w:numPr>
          <w:ilvl w:val="0"/>
          <w:numId w:val="1"/>
        </w:numPr>
        <w:jc w:val="both"/>
        <w:rPr>
          <w:i/>
          <w:sz w:val="24"/>
          <w:szCs w:val="24"/>
        </w:rPr>
      </w:pPr>
      <w:r w:rsidRPr="00C916FF">
        <w:rPr>
          <w:i/>
          <w:sz w:val="24"/>
          <w:szCs w:val="24"/>
        </w:rPr>
        <w:t xml:space="preserve">€ </w:t>
      </w:r>
      <w:r w:rsidR="001C13CE" w:rsidRPr="00C916FF">
        <w:rPr>
          <w:i/>
          <w:sz w:val="24"/>
          <w:szCs w:val="24"/>
        </w:rPr>
        <w:t>545</w:t>
      </w:r>
      <w:r w:rsidRPr="00C916FF">
        <w:rPr>
          <w:i/>
          <w:sz w:val="24"/>
          <w:szCs w:val="24"/>
        </w:rPr>
        <w:t>.460,00: dottorato e post laurea;</w:t>
      </w:r>
    </w:p>
    <w:p w:rsidR="00C916FF" w:rsidRPr="00C916FF" w:rsidRDefault="00C916FF" w:rsidP="00736B8D">
      <w:pPr>
        <w:pStyle w:val="Paragrafoelenco"/>
        <w:numPr>
          <w:ilvl w:val="0"/>
          <w:numId w:val="1"/>
        </w:numPr>
        <w:jc w:val="both"/>
        <w:rPr>
          <w:i/>
          <w:sz w:val="24"/>
          <w:szCs w:val="24"/>
        </w:rPr>
      </w:pPr>
      <w:r w:rsidRPr="00C916FF">
        <w:rPr>
          <w:i/>
          <w:sz w:val="24"/>
          <w:szCs w:val="24"/>
        </w:rPr>
        <w:t>€ 69.410,00: piano straordinario professori di 1^ fascia;</w:t>
      </w:r>
    </w:p>
    <w:p w:rsidR="00C916FF" w:rsidRDefault="00C916FF" w:rsidP="00736B8D">
      <w:pPr>
        <w:pStyle w:val="Paragrafoelenco"/>
        <w:numPr>
          <w:ilvl w:val="0"/>
          <w:numId w:val="1"/>
        </w:numPr>
        <w:jc w:val="both"/>
        <w:rPr>
          <w:i/>
          <w:sz w:val="24"/>
          <w:szCs w:val="24"/>
        </w:rPr>
      </w:pPr>
      <w:r w:rsidRPr="00C916FF">
        <w:rPr>
          <w:i/>
          <w:sz w:val="24"/>
          <w:szCs w:val="24"/>
        </w:rPr>
        <w:t xml:space="preserve">€ 272.915,00: </w:t>
      </w:r>
      <w:r>
        <w:rPr>
          <w:i/>
          <w:sz w:val="24"/>
          <w:szCs w:val="24"/>
        </w:rPr>
        <w:t>piano straordinario ricercatori “B”.</w:t>
      </w:r>
    </w:p>
    <w:p w:rsidR="00C916FF" w:rsidRDefault="00C916FF" w:rsidP="00C916FF">
      <w:pPr>
        <w:jc w:val="both"/>
        <w:rPr>
          <w:i/>
          <w:sz w:val="24"/>
          <w:szCs w:val="24"/>
        </w:rPr>
      </w:pPr>
    </w:p>
    <w:p w:rsidR="00C916FF" w:rsidRDefault="00B82FE0" w:rsidP="00B82FE0">
      <w:pPr>
        <w:ind w:firstLine="708"/>
        <w:jc w:val="both"/>
        <w:rPr>
          <w:b/>
          <w:sz w:val="24"/>
          <w:szCs w:val="24"/>
        </w:rPr>
      </w:pPr>
      <w:r>
        <w:rPr>
          <w:sz w:val="24"/>
          <w:szCs w:val="24"/>
        </w:rPr>
        <w:t xml:space="preserve">Alle quote sopra indicate, complessivamente pari ad </w:t>
      </w:r>
      <w:r w:rsidRPr="00B82FE0">
        <w:rPr>
          <w:b/>
          <w:sz w:val="24"/>
          <w:szCs w:val="24"/>
        </w:rPr>
        <w:t>€ 30.399.104,00</w:t>
      </w:r>
      <w:r>
        <w:rPr>
          <w:sz w:val="24"/>
          <w:szCs w:val="24"/>
        </w:rPr>
        <w:t xml:space="preserve">, è stato sommato un valore stimato a valere su altre voci, che porta la previsione complessiva del Fondo 2016 ad </w:t>
      </w:r>
      <w:r w:rsidRPr="00B82FE0">
        <w:rPr>
          <w:b/>
          <w:sz w:val="24"/>
          <w:szCs w:val="24"/>
        </w:rPr>
        <w:t>€ 37.720.522,00.</w:t>
      </w:r>
    </w:p>
    <w:p w:rsidR="0083619A" w:rsidRDefault="0083619A" w:rsidP="00B82FE0">
      <w:pPr>
        <w:ind w:firstLine="708"/>
        <w:jc w:val="both"/>
        <w:rPr>
          <w:b/>
          <w:sz w:val="24"/>
          <w:szCs w:val="24"/>
        </w:rPr>
      </w:pPr>
    </w:p>
    <w:p w:rsidR="0083619A" w:rsidRDefault="0083619A" w:rsidP="00B82FE0">
      <w:pPr>
        <w:ind w:firstLine="708"/>
        <w:jc w:val="both"/>
        <w:rPr>
          <w:sz w:val="24"/>
          <w:szCs w:val="24"/>
        </w:rPr>
      </w:pPr>
      <w:r>
        <w:rPr>
          <w:sz w:val="24"/>
          <w:szCs w:val="24"/>
        </w:rPr>
        <w:t>Come accennato, l</w:t>
      </w:r>
      <w:r w:rsidRPr="0083619A">
        <w:rPr>
          <w:sz w:val="24"/>
          <w:szCs w:val="24"/>
        </w:rPr>
        <w:t xml:space="preserve">a previsione per il </w:t>
      </w:r>
      <w:r w:rsidRPr="0083619A">
        <w:rPr>
          <w:b/>
          <w:sz w:val="24"/>
          <w:szCs w:val="24"/>
        </w:rPr>
        <w:t xml:space="preserve">2017 </w:t>
      </w:r>
      <w:r>
        <w:rPr>
          <w:sz w:val="24"/>
          <w:szCs w:val="24"/>
        </w:rPr>
        <w:t>è stata formulata considerando preliminarmente le quote effettive già comunicate dal Ministero e relative a:</w:t>
      </w:r>
    </w:p>
    <w:p w:rsidR="0083619A" w:rsidRDefault="0083619A" w:rsidP="00B82FE0">
      <w:pPr>
        <w:ind w:firstLine="708"/>
        <w:jc w:val="both"/>
        <w:rPr>
          <w:sz w:val="24"/>
          <w:szCs w:val="24"/>
        </w:rPr>
      </w:pPr>
    </w:p>
    <w:p w:rsidR="0083619A" w:rsidRPr="0083619A" w:rsidRDefault="0083619A" w:rsidP="00736B8D">
      <w:pPr>
        <w:pStyle w:val="Paragrafoelenco"/>
        <w:numPr>
          <w:ilvl w:val="0"/>
          <w:numId w:val="2"/>
        </w:numPr>
        <w:jc w:val="both"/>
        <w:rPr>
          <w:i/>
          <w:sz w:val="24"/>
          <w:szCs w:val="24"/>
        </w:rPr>
      </w:pPr>
      <w:r w:rsidRPr="0083619A">
        <w:rPr>
          <w:i/>
          <w:sz w:val="24"/>
          <w:szCs w:val="24"/>
        </w:rPr>
        <w:t>€ 115.684,00: piano straordinario professori di 1^ fascia;</w:t>
      </w:r>
    </w:p>
    <w:p w:rsidR="0083619A" w:rsidRDefault="0083619A" w:rsidP="00736B8D">
      <w:pPr>
        <w:pStyle w:val="Paragrafoelenco"/>
        <w:numPr>
          <w:ilvl w:val="0"/>
          <w:numId w:val="2"/>
        </w:numPr>
        <w:jc w:val="both"/>
        <w:rPr>
          <w:i/>
          <w:sz w:val="24"/>
          <w:szCs w:val="24"/>
        </w:rPr>
      </w:pPr>
      <w:r w:rsidRPr="0083619A">
        <w:rPr>
          <w:i/>
          <w:sz w:val="24"/>
          <w:szCs w:val="24"/>
        </w:rPr>
        <w:t>€ 293.238,00: piano straordinario ricercatori “B”.</w:t>
      </w:r>
    </w:p>
    <w:p w:rsidR="003C29A0" w:rsidRDefault="003C29A0" w:rsidP="003C29A0">
      <w:pPr>
        <w:jc w:val="both"/>
        <w:rPr>
          <w:i/>
          <w:sz w:val="24"/>
          <w:szCs w:val="24"/>
        </w:rPr>
      </w:pPr>
    </w:p>
    <w:p w:rsidR="00D54BC5" w:rsidRDefault="003C29A0" w:rsidP="003C29A0">
      <w:pPr>
        <w:ind w:firstLine="720"/>
        <w:jc w:val="both"/>
        <w:rPr>
          <w:sz w:val="24"/>
          <w:szCs w:val="24"/>
        </w:rPr>
      </w:pPr>
      <w:r>
        <w:rPr>
          <w:sz w:val="24"/>
          <w:szCs w:val="24"/>
        </w:rPr>
        <w:t xml:space="preserve">Inoltre, si è stimata una </w:t>
      </w:r>
      <w:r w:rsidRPr="00D54BC5">
        <w:rPr>
          <w:i/>
          <w:sz w:val="24"/>
          <w:szCs w:val="24"/>
        </w:rPr>
        <w:t>quota base</w:t>
      </w:r>
      <w:r>
        <w:rPr>
          <w:sz w:val="24"/>
          <w:szCs w:val="24"/>
        </w:rPr>
        <w:t xml:space="preserve"> pari a quella rilevata nel 2016 (€ 29.511.319,00), ritenendosi che</w:t>
      </w:r>
      <w:r w:rsidR="00D54BC5">
        <w:rPr>
          <w:sz w:val="24"/>
          <w:szCs w:val="24"/>
        </w:rPr>
        <w:t xml:space="preserve"> non vi siano particolari motivazioni per ipotizzare sostanziali variazioni in aumento o in diminuzione rispetto all’anno precedente. Parimenti, si è “riportata” in previsione 2017 la medesima quota del 2016, pari ad € 545.460,00, per assegnazioni relative a </w:t>
      </w:r>
      <w:r w:rsidR="00D54BC5" w:rsidRPr="00D54BC5">
        <w:rPr>
          <w:i/>
          <w:sz w:val="24"/>
          <w:szCs w:val="24"/>
        </w:rPr>
        <w:t>Dottorato di ricerca e post laurea</w:t>
      </w:r>
      <w:r w:rsidR="00D54BC5">
        <w:rPr>
          <w:sz w:val="24"/>
          <w:szCs w:val="24"/>
        </w:rPr>
        <w:t>, non sussistendo attualmente elementi di forte discontinuità tra i due esercizi.</w:t>
      </w:r>
    </w:p>
    <w:p w:rsidR="00D54BC5" w:rsidRDefault="00D54BC5" w:rsidP="00D54BC5">
      <w:pPr>
        <w:ind w:firstLine="720"/>
        <w:jc w:val="both"/>
        <w:rPr>
          <w:sz w:val="24"/>
          <w:szCs w:val="24"/>
        </w:rPr>
      </w:pPr>
      <w:r>
        <w:rPr>
          <w:sz w:val="24"/>
          <w:szCs w:val="24"/>
        </w:rPr>
        <w:t xml:space="preserve">Infine, per quanto riguarda le altre voci di finanziamento, è stato stimato un valore che porta la previsione del </w:t>
      </w:r>
      <w:r w:rsidRPr="006F25BB">
        <w:rPr>
          <w:b/>
          <w:sz w:val="24"/>
          <w:szCs w:val="24"/>
        </w:rPr>
        <w:t>F.F.O. 2017</w:t>
      </w:r>
      <w:r>
        <w:rPr>
          <w:sz w:val="24"/>
          <w:szCs w:val="24"/>
        </w:rPr>
        <w:t xml:space="preserve"> al citato valore </w:t>
      </w:r>
      <w:r w:rsidR="00463A81">
        <w:rPr>
          <w:sz w:val="24"/>
          <w:szCs w:val="24"/>
        </w:rPr>
        <w:t xml:space="preserve">complessivo </w:t>
      </w:r>
      <w:r>
        <w:rPr>
          <w:sz w:val="24"/>
          <w:szCs w:val="24"/>
        </w:rPr>
        <w:t xml:space="preserve">di </w:t>
      </w:r>
      <w:r w:rsidRPr="001C13CE">
        <w:rPr>
          <w:b/>
          <w:sz w:val="24"/>
          <w:szCs w:val="24"/>
        </w:rPr>
        <w:t>€ 37.823.726,00</w:t>
      </w:r>
      <w:r w:rsidRPr="00D54BC5">
        <w:rPr>
          <w:sz w:val="24"/>
          <w:szCs w:val="24"/>
        </w:rPr>
        <w:t>,</w:t>
      </w:r>
      <w:r>
        <w:rPr>
          <w:b/>
          <w:sz w:val="24"/>
          <w:szCs w:val="24"/>
        </w:rPr>
        <w:t xml:space="preserve"> </w:t>
      </w:r>
      <w:r w:rsidR="00463A81" w:rsidRPr="00463A81">
        <w:rPr>
          <w:sz w:val="24"/>
          <w:szCs w:val="24"/>
        </w:rPr>
        <w:t>il quale</w:t>
      </w:r>
      <w:r w:rsidR="00463A81">
        <w:rPr>
          <w:sz w:val="24"/>
          <w:szCs w:val="24"/>
        </w:rPr>
        <w:t xml:space="preserve">, come precedentemente accennato, risulta </w:t>
      </w:r>
      <w:r w:rsidR="00463A81" w:rsidRPr="00463A81">
        <w:rPr>
          <w:b/>
          <w:sz w:val="24"/>
          <w:szCs w:val="24"/>
        </w:rPr>
        <w:t xml:space="preserve">maggiore dello 0,5% </w:t>
      </w:r>
      <w:r w:rsidR="00463A81">
        <w:rPr>
          <w:sz w:val="24"/>
          <w:szCs w:val="24"/>
        </w:rPr>
        <w:t xml:space="preserve">rispetto </w:t>
      </w:r>
      <w:r w:rsidR="0069549B">
        <w:rPr>
          <w:sz w:val="24"/>
          <w:szCs w:val="24"/>
        </w:rPr>
        <w:t>all’importo de</w:t>
      </w:r>
      <w:r w:rsidR="00463A81">
        <w:rPr>
          <w:sz w:val="24"/>
          <w:szCs w:val="24"/>
        </w:rPr>
        <w:t>ll’anno precedente.</w:t>
      </w:r>
    </w:p>
    <w:p w:rsidR="00E8115B" w:rsidRDefault="00F56BC4" w:rsidP="00D54BC5">
      <w:pPr>
        <w:ind w:firstLine="720"/>
        <w:jc w:val="both"/>
        <w:rPr>
          <w:sz w:val="24"/>
          <w:szCs w:val="24"/>
        </w:rPr>
      </w:pPr>
      <w:r>
        <w:rPr>
          <w:sz w:val="24"/>
          <w:szCs w:val="24"/>
        </w:rPr>
        <w:t>Il</w:t>
      </w:r>
      <w:r w:rsidR="00463A81">
        <w:rPr>
          <w:sz w:val="24"/>
          <w:szCs w:val="24"/>
        </w:rPr>
        <w:t xml:space="preserve"> lieve incremento </w:t>
      </w:r>
      <w:r w:rsidR="00046CCE">
        <w:rPr>
          <w:sz w:val="24"/>
          <w:szCs w:val="24"/>
        </w:rPr>
        <w:t xml:space="preserve">rappresenta </w:t>
      </w:r>
      <w:r w:rsidR="003C0CB3">
        <w:rPr>
          <w:sz w:val="24"/>
          <w:szCs w:val="24"/>
        </w:rPr>
        <w:t>la volontà di conciliare il mantenimento di una condotta estremamente prudenziale, con le</w:t>
      </w:r>
      <w:r>
        <w:rPr>
          <w:sz w:val="24"/>
          <w:szCs w:val="24"/>
        </w:rPr>
        <w:t xml:space="preserve"> misure introdotte a livello nazionale</w:t>
      </w:r>
      <w:r w:rsidR="003C0CB3">
        <w:rPr>
          <w:sz w:val="24"/>
          <w:szCs w:val="24"/>
        </w:rPr>
        <w:t xml:space="preserve"> volte al coinvolgimento di alcuni Atenei in vari programmi di sviluppo </w:t>
      </w:r>
      <w:r w:rsidR="00797024">
        <w:rPr>
          <w:sz w:val="24"/>
          <w:szCs w:val="24"/>
        </w:rPr>
        <w:t>della ricerca scientifica</w:t>
      </w:r>
      <w:r>
        <w:rPr>
          <w:sz w:val="24"/>
          <w:szCs w:val="24"/>
        </w:rPr>
        <w:t>.</w:t>
      </w:r>
      <w:r w:rsidR="00797024">
        <w:rPr>
          <w:sz w:val="24"/>
          <w:szCs w:val="24"/>
        </w:rPr>
        <w:t xml:space="preserve"> </w:t>
      </w:r>
    </w:p>
    <w:p w:rsidR="00BF44A2" w:rsidRDefault="00797024" w:rsidP="00D54BC5">
      <w:pPr>
        <w:ind w:firstLine="720"/>
        <w:jc w:val="both"/>
        <w:rPr>
          <w:sz w:val="24"/>
          <w:szCs w:val="24"/>
        </w:rPr>
      </w:pPr>
      <w:r>
        <w:rPr>
          <w:sz w:val="24"/>
          <w:szCs w:val="24"/>
        </w:rPr>
        <w:t xml:space="preserve">Si tratta sostanzialmente di </w:t>
      </w:r>
      <w:r w:rsidR="00433782">
        <w:rPr>
          <w:sz w:val="24"/>
          <w:szCs w:val="24"/>
        </w:rPr>
        <w:t xml:space="preserve">riferirsi ad un contesto </w:t>
      </w:r>
      <w:r w:rsidR="00E8115B">
        <w:rPr>
          <w:sz w:val="24"/>
          <w:szCs w:val="24"/>
        </w:rPr>
        <w:t xml:space="preserve">generale </w:t>
      </w:r>
      <w:r w:rsidR="00433782">
        <w:rPr>
          <w:sz w:val="24"/>
          <w:szCs w:val="24"/>
        </w:rPr>
        <w:t>di crescita</w:t>
      </w:r>
      <w:r w:rsidR="000562C4">
        <w:rPr>
          <w:sz w:val="24"/>
          <w:szCs w:val="24"/>
        </w:rPr>
        <w:t xml:space="preserve"> moderata</w:t>
      </w:r>
      <w:r w:rsidR="00433782">
        <w:rPr>
          <w:sz w:val="24"/>
          <w:szCs w:val="24"/>
        </w:rPr>
        <w:t xml:space="preserve">, che, </w:t>
      </w:r>
      <w:r w:rsidR="00E8115B">
        <w:rPr>
          <w:sz w:val="24"/>
          <w:szCs w:val="24"/>
        </w:rPr>
        <w:t>di per sé</w:t>
      </w:r>
      <w:r w:rsidR="00433782">
        <w:rPr>
          <w:sz w:val="24"/>
          <w:szCs w:val="24"/>
        </w:rPr>
        <w:t xml:space="preserve">, non consente di delineare </w:t>
      </w:r>
      <w:r w:rsidR="00F56BC4">
        <w:rPr>
          <w:sz w:val="24"/>
          <w:szCs w:val="24"/>
        </w:rPr>
        <w:t>scenari</w:t>
      </w:r>
      <w:r w:rsidR="0017283F">
        <w:rPr>
          <w:sz w:val="24"/>
          <w:szCs w:val="24"/>
        </w:rPr>
        <w:t xml:space="preserve"> di ampio respiro e, al tempo stesso, di accogliere positivamente la prospettiva</w:t>
      </w:r>
      <w:r w:rsidR="00E8115B">
        <w:rPr>
          <w:sz w:val="24"/>
          <w:szCs w:val="24"/>
        </w:rPr>
        <w:t xml:space="preserve"> </w:t>
      </w:r>
      <w:r w:rsidR="0017283F">
        <w:rPr>
          <w:sz w:val="24"/>
          <w:szCs w:val="24"/>
        </w:rPr>
        <w:t xml:space="preserve">di </w:t>
      </w:r>
      <w:r w:rsidR="00E8115B">
        <w:rPr>
          <w:sz w:val="24"/>
          <w:szCs w:val="24"/>
        </w:rPr>
        <w:t xml:space="preserve">partecipazione dell’Ateneo alle principali iniziative di investimento proposte nella Legge di Bilancio 2017, tra le quali, ad esempio, “Industria 4.0”, “Dipartimenti di eccellenza”, etc. </w:t>
      </w:r>
    </w:p>
    <w:p w:rsidR="00463A81" w:rsidRDefault="0017283F" w:rsidP="00D54BC5">
      <w:pPr>
        <w:ind w:firstLine="720"/>
        <w:jc w:val="both"/>
        <w:rPr>
          <w:sz w:val="24"/>
          <w:szCs w:val="24"/>
        </w:rPr>
      </w:pPr>
      <w:r>
        <w:rPr>
          <w:sz w:val="24"/>
          <w:szCs w:val="24"/>
        </w:rPr>
        <w:t xml:space="preserve">In tal senso, non si ritiene che tali circostanze siano </w:t>
      </w:r>
      <w:r w:rsidR="000562C4">
        <w:rPr>
          <w:sz w:val="24"/>
          <w:szCs w:val="24"/>
        </w:rPr>
        <w:t>compatibili</w:t>
      </w:r>
      <w:r>
        <w:rPr>
          <w:sz w:val="24"/>
          <w:szCs w:val="24"/>
        </w:rPr>
        <w:t xml:space="preserve"> con l’ipotesi di ulteriori riduzioni del finanziamento ordinario, già pesantemente ridimensionato nel corso degli ultimi anni.</w:t>
      </w:r>
    </w:p>
    <w:p w:rsidR="00B1614C" w:rsidRDefault="00122267" w:rsidP="00D54BC5">
      <w:pPr>
        <w:ind w:firstLine="720"/>
        <w:jc w:val="both"/>
        <w:rPr>
          <w:sz w:val="24"/>
          <w:szCs w:val="24"/>
        </w:rPr>
      </w:pPr>
      <w:r>
        <w:rPr>
          <w:sz w:val="24"/>
          <w:szCs w:val="24"/>
        </w:rPr>
        <w:t xml:space="preserve">Come </w:t>
      </w:r>
      <w:r w:rsidR="00B1614C">
        <w:rPr>
          <w:sz w:val="24"/>
          <w:szCs w:val="24"/>
        </w:rPr>
        <w:t>sintes</w:t>
      </w:r>
      <w:r>
        <w:rPr>
          <w:sz w:val="24"/>
          <w:szCs w:val="24"/>
        </w:rPr>
        <w:t>i delle argomentazioni espresse</w:t>
      </w:r>
      <w:r w:rsidR="002A7646">
        <w:rPr>
          <w:sz w:val="24"/>
          <w:szCs w:val="24"/>
        </w:rPr>
        <w:t>,</w:t>
      </w:r>
      <w:r>
        <w:rPr>
          <w:sz w:val="24"/>
          <w:szCs w:val="24"/>
        </w:rPr>
        <w:t xml:space="preserve"> si riporta nel seguito la </w:t>
      </w:r>
      <w:r w:rsidRPr="00122267">
        <w:rPr>
          <w:i/>
          <w:sz w:val="24"/>
          <w:szCs w:val="24"/>
        </w:rPr>
        <w:t>Tabella 1</w:t>
      </w:r>
      <w:r>
        <w:rPr>
          <w:i/>
          <w:sz w:val="24"/>
          <w:szCs w:val="24"/>
        </w:rPr>
        <w:t>.</w:t>
      </w:r>
    </w:p>
    <w:p w:rsidR="00B1614C" w:rsidRDefault="00B1614C" w:rsidP="00D54BC5">
      <w:pPr>
        <w:ind w:firstLine="720"/>
        <w:jc w:val="both"/>
        <w:rPr>
          <w:sz w:val="24"/>
          <w:szCs w:val="24"/>
        </w:rPr>
      </w:pPr>
    </w:p>
    <w:p w:rsidR="00B1614C" w:rsidRPr="00463A81" w:rsidRDefault="00B1614C" w:rsidP="00D54BC5">
      <w:pPr>
        <w:ind w:firstLine="720"/>
        <w:jc w:val="both"/>
        <w:rPr>
          <w:color w:val="FF0000"/>
          <w:sz w:val="24"/>
          <w:szCs w:val="24"/>
        </w:rPr>
      </w:pPr>
    </w:p>
    <w:p w:rsidR="00B036D6" w:rsidRDefault="00B036D6" w:rsidP="001D05EA">
      <w:pPr>
        <w:ind w:firstLine="720"/>
        <w:jc w:val="both"/>
        <w:rPr>
          <w:i/>
        </w:rPr>
      </w:pPr>
    </w:p>
    <w:p w:rsidR="00B036D6" w:rsidRDefault="00B036D6" w:rsidP="001D05EA">
      <w:pPr>
        <w:ind w:firstLine="720"/>
        <w:jc w:val="both"/>
        <w:rPr>
          <w:i/>
        </w:rPr>
      </w:pPr>
    </w:p>
    <w:p w:rsidR="00B036D6" w:rsidRDefault="00B036D6" w:rsidP="001D05EA">
      <w:pPr>
        <w:ind w:firstLine="720"/>
        <w:jc w:val="both"/>
        <w:rPr>
          <w:i/>
        </w:rPr>
      </w:pPr>
    </w:p>
    <w:p w:rsidR="00B036D6" w:rsidRDefault="00B036D6" w:rsidP="001D05EA">
      <w:pPr>
        <w:ind w:firstLine="720"/>
        <w:jc w:val="both"/>
        <w:rPr>
          <w:i/>
        </w:rPr>
      </w:pPr>
    </w:p>
    <w:p w:rsidR="00B036D6" w:rsidRDefault="00B036D6" w:rsidP="001D05EA">
      <w:pPr>
        <w:ind w:firstLine="720"/>
        <w:jc w:val="both"/>
        <w:rPr>
          <w:i/>
        </w:rPr>
      </w:pPr>
    </w:p>
    <w:p w:rsidR="00B036D6" w:rsidRDefault="00B036D6" w:rsidP="001D05EA">
      <w:pPr>
        <w:ind w:firstLine="720"/>
        <w:jc w:val="both"/>
        <w:rPr>
          <w:i/>
        </w:rPr>
      </w:pPr>
    </w:p>
    <w:p w:rsidR="00B036D6" w:rsidRDefault="00B036D6" w:rsidP="001D05EA">
      <w:pPr>
        <w:ind w:firstLine="720"/>
        <w:jc w:val="both"/>
        <w:rPr>
          <w:i/>
        </w:rPr>
      </w:pPr>
    </w:p>
    <w:p w:rsidR="00B036D6" w:rsidRDefault="00B036D6" w:rsidP="001D05EA">
      <w:pPr>
        <w:ind w:firstLine="720"/>
        <w:jc w:val="both"/>
        <w:rPr>
          <w:i/>
        </w:rPr>
      </w:pPr>
    </w:p>
    <w:p w:rsidR="00B036D6" w:rsidRDefault="00B036D6" w:rsidP="001D05EA">
      <w:pPr>
        <w:ind w:firstLine="720"/>
        <w:jc w:val="both"/>
        <w:rPr>
          <w:i/>
        </w:rPr>
      </w:pPr>
    </w:p>
    <w:p w:rsidR="00B036D6" w:rsidRDefault="00B036D6" w:rsidP="001D05EA">
      <w:pPr>
        <w:ind w:firstLine="720"/>
        <w:jc w:val="both"/>
        <w:rPr>
          <w:i/>
        </w:rPr>
      </w:pPr>
    </w:p>
    <w:p w:rsidR="00B036D6" w:rsidRDefault="00B036D6" w:rsidP="001D05EA">
      <w:pPr>
        <w:ind w:firstLine="720"/>
        <w:jc w:val="both"/>
        <w:rPr>
          <w:i/>
        </w:rPr>
      </w:pPr>
    </w:p>
    <w:p w:rsidR="00B036D6" w:rsidRDefault="00B036D6" w:rsidP="001D05EA">
      <w:pPr>
        <w:ind w:firstLine="720"/>
        <w:jc w:val="both"/>
        <w:rPr>
          <w:i/>
        </w:rPr>
      </w:pPr>
    </w:p>
    <w:p w:rsidR="00B036D6" w:rsidRDefault="00B036D6" w:rsidP="001D05EA">
      <w:pPr>
        <w:ind w:firstLine="720"/>
        <w:jc w:val="both"/>
        <w:rPr>
          <w:i/>
        </w:rPr>
      </w:pPr>
    </w:p>
    <w:p w:rsidR="00B036D6" w:rsidRDefault="00B036D6" w:rsidP="001D05EA">
      <w:pPr>
        <w:ind w:firstLine="720"/>
        <w:jc w:val="both"/>
        <w:rPr>
          <w:i/>
        </w:rPr>
      </w:pPr>
    </w:p>
    <w:p w:rsidR="00B036D6" w:rsidRDefault="00B036D6" w:rsidP="001D05EA">
      <w:pPr>
        <w:ind w:firstLine="720"/>
        <w:jc w:val="both"/>
        <w:rPr>
          <w:i/>
        </w:rPr>
      </w:pPr>
    </w:p>
    <w:p w:rsidR="00B036D6" w:rsidRDefault="00B036D6" w:rsidP="001D05EA">
      <w:pPr>
        <w:ind w:firstLine="720"/>
        <w:jc w:val="both"/>
        <w:rPr>
          <w:i/>
        </w:rPr>
      </w:pPr>
    </w:p>
    <w:p w:rsidR="00B036D6" w:rsidRDefault="00B036D6" w:rsidP="001D05EA">
      <w:pPr>
        <w:ind w:firstLine="720"/>
        <w:jc w:val="both"/>
        <w:rPr>
          <w:i/>
        </w:rPr>
      </w:pPr>
    </w:p>
    <w:p w:rsidR="00B036D6" w:rsidRDefault="00B036D6" w:rsidP="001D05EA">
      <w:pPr>
        <w:ind w:firstLine="720"/>
        <w:jc w:val="both"/>
        <w:rPr>
          <w:i/>
        </w:rPr>
      </w:pPr>
    </w:p>
    <w:p w:rsidR="00B036D6" w:rsidRDefault="00B036D6" w:rsidP="001D05EA">
      <w:pPr>
        <w:ind w:firstLine="720"/>
        <w:jc w:val="both"/>
        <w:rPr>
          <w:i/>
        </w:rPr>
      </w:pPr>
    </w:p>
    <w:p w:rsidR="00B036D6" w:rsidRDefault="00B036D6" w:rsidP="001D05EA">
      <w:pPr>
        <w:ind w:firstLine="720"/>
        <w:jc w:val="both"/>
        <w:rPr>
          <w:i/>
        </w:rPr>
      </w:pPr>
    </w:p>
    <w:p w:rsidR="001A333D" w:rsidRPr="00197676" w:rsidRDefault="00B1614C" w:rsidP="001D05EA">
      <w:pPr>
        <w:ind w:firstLine="720"/>
        <w:jc w:val="both"/>
        <w:rPr>
          <w:color w:val="548DD4" w:themeColor="text2" w:themeTint="99"/>
        </w:rPr>
      </w:pPr>
      <w:r w:rsidRPr="00197676">
        <w:rPr>
          <w:i/>
        </w:rPr>
        <w:t>Tabella 1: Fondo per il finanziamento Ordinario</w:t>
      </w:r>
      <w:r w:rsidR="00920753">
        <w:rPr>
          <w:i/>
        </w:rPr>
        <w:t xml:space="preserve"> – triennio 2017-2019</w:t>
      </w:r>
      <w:r w:rsidR="00D54BC5" w:rsidRPr="00197676">
        <w:rPr>
          <w:i/>
        </w:rPr>
        <w:t xml:space="preserve"> </w:t>
      </w:r>
    </w:p>
    <w:p w:rsidR="001A333D" w:rsidRDefault="001A333D" w:rsidP="001D05EA">
      <w:pPr>
        <w:ind w:firstLine="720"/>
        <w:jc w:val="both"/>
        <w:rPr>
          <w:color w:val="548DD4" w:themeColor="text2" w:themeTint="99"/>
          <w:sz w:val="24"/>
          <w:szCs w:val="24"/>
        </w:rPr>
      </w:pPr>
    </w:p>
    <w:tbl>
      <w:tblPr>
        <w:tblW w:w="8900" w:type="dxa"/>
        <w:tblCellMar>
          <w:left w:w="70" w:type="dxa"/>
          <w:right w:w="70" w:type="dxa"/>
        </w:tblCellMar>
        <w:tblLook w:val="04A0" w:firstRow="1" w:lastRow="0" w:firstColumn="1" w:lastColumn="0" w:noHBand="0" w:noVBand="1"/>
      </w:tblPr>
      <w:tblGrid>
        <w:gridCol w:w="2260"/>
        <w:gridCol w:w="1660"/>
        <w:gridCol w:w="1660"/>
        <w:gridCol w:w="1660"/>
        <w:gridCol w:w="1660"/>
      </w:tblGrid>
      <w:tr w:rsidR="00122267" w:rsidRPr="00122267" w:rsidTr="00122267">
        <w:trPr>
          <w:trHeight w:val="660"/>
        </w:trPr>
        <w:tc>
          <w:tcPr>
            <w:tcW w:w="89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2267" w:rsidRPr="00122267" w:rsidRDefault="00122267" w:rsidP="00122267">
            <w:pPr>
              <w:jc w:val="center"/>
              <w:rPr>
                <w:b/>
                <w:bCs/>
                <w:sz w:val="24"/>
                <w:szCs w:val="24"/>
              </w:rPr>
            </w:pPr>
            <w:r w:rsidRPr="00122267">
              <w:rPr>
                <w:b/>
                <w:bCs/>
                <w:sz w:val="24"/>
                <w:szCs w:val="24"/>
              </w:rPr>
              <w:t xml:space="preserve">Previsione Fondo di Finanziamento Ordinario - triennio 2017-2019 </w:t>
            </w:r>
          </w:p>
        </w:tc>
      </w:tr>
      <w:tr w:rsidR="00122267" w:rsidRPr="00122267" w:rsidTr="00122267">
        <w:trPr>
          <w:trHeight w:val="102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122267" w:rsidRPr="00122267" w:rsidRDefault="00122267" w:rsidP="00122267">
            <w:pPr>
              <w:jc w:val="center"/>
              <w:rPr>
                <w:b/>
                <w:bCs/>
                <w:sz w:val="18"/>
                <w:szCs w:val="18"/>
              </w:rPr>
            </w:pPr>
            <w:r w:rsidRPr="00122267">
              <w:rPr>
                <w:b/>
                <w:bCs/>
                <w:sz w:val="18"/>
                <w:szCs w:val="18"/>
              </w:rPr>
              <w:t xml:space="preserve"> Voci </w:t>
            </w:r>
          </w:p>
        </w:tc>
        <w:tc>
          <w:tcPr>
            <w:tcW w:w="1660" w:type="dxa"/>
            <w:tcBorders>
              <w:top w:val="nil"/>
              <w:left w:val="nil"/>
              <w:bottom w:val="single" w:sz="4" w:space="0" w:color="auto"/>
              <w:right w:val="single" w:sz="4" w:space="0" w:color="auto"/>
            </w:tcBorders>
            <w:shd w:val="clear" w:color="auto" w:fill="auto"/>
            <w:vAlign w:val="center"/>
            <w:hideMark/>
          </w:tcPr>
          <w:p w:rsidR="00122267" w:rsidRPr="00122267" w:rsidRDefault="00122267" w:rsidP="00122267">
            <w:pPr>
              <w:jc w:val="center"/>
              <w:rPr>
                <w:b/>
                <w:bCs/>
                <w:sz w:val="18"/>
                <w:szCs w:val="18"/>
              </w:rPr>
            </w:pPr>
            <w:r w:rsidRPr="00122267">
              <w:rPr>
                <w:b/>
                <w:bCs/>
                <w:sz w:val="18"/>
                <w:szCs w:val="18"/>
              </w:rPr>
              <w:t xml:space="preserve"> Importi effettivi 2016 + quota presunta 2016 "Altro"  </w:t>
            </w:r>
          </w:p>
        </w:tc>
        <w:tc>
          <w:tcPr>
            <w:tcW w:w="1660" w:type="dxa"/>
            <w:tcBorders>
              <w:top w:val="nil"/>
              <w:left w:val="nil"/>
              <w:bottom w:val="single" w:sz="4" w:space="0" w:color="auto"/>
              <w:right w:val="single" w:sz="4" w:space="0" w:color="auto"/>
            </w:tcBorders>
            <w:shd w:val="clear" w:color="auto" w:fill="auto"/>
            <w:vAlign w:val="center"/>
            <w:hideMark/>
          </w:tcPr>
          <w:p w:rsidR="00122267" w:rsidRPr="00122267" w:rsidRDefault="00122267" w:rsidP="00122267">
            <w:pPr>
              <w:jc w:val="center"/>
              <w:rPr>
                <w:b/>
                <w:bCs/>
                <w:sz w:val="18"/>
                <w:szCs w:val="18"/>
              </w:rPr>
            </w:pPr>
            <w:r w:rsidRPr="00122267">
              <w:rPr>
                <w:b/>
                <w:bCs/>
                <w:sz w:val="18"/>
                <w:szCs w:val="18"/>
              </w:rPr>
              <w:t xml:space="preserve"> F.F.O. 2017 (previsione) </w:t>
            </w:r>
          </w:p>
        </w:tc>
        <w:tc>
          <w:tcPr>
            <w:tcW w:w="1660" w:type="dxa"/>
            <w:tcBorders>
              <w:top w:val="nil"/>
              <w:left w:val="nil"/>
              <w:bottom w:val="single" w:sz="4" w:space="0" w:color="auto"/>
              <w:right w:val="single" w:sz="4" w:space="0" w:color="auto"/>
            </w:tcBorders>
            <w:shd w:val="clear" w:color="auto" w:fill="auto"/>
            <w:vAlign w:val="center"/>
            <w:hideMark/>
          </w:tcPr>
          <w:p w:rsidR="00122267" w:rsidRPr="00122267" w:rsidRDefault="00122267" w:rsidP="00122267">
            <w:pPr>
              <w:jc w:val="center"/>
              <w:rPr>
                <w:b/>
                <w:bCs/>
                <w:sz w:val="18"/>
                <w:szCs w:val="18"/>
              </w:rPr>
            </w:pPr>
            <w:r w:rsidRPr="00122267">
              <w:rPr>
                <w:b/>
                <w:bCs/>
                <w:sz w:val="18"/>
                <w:szCs w:val="18"/>
              </w:rPr>
              <w:t xml:space="preserve"> F.F.O. 2018 (previsione) </w:t>
            </w:r>
          </w:p>
        </w:tc>
        <w:tc>
          <w:tcPr>
            <w:tcW w:w="1660" w:type="dxa"/>
            <w:tcBorders>
              <w:top w:val="nil"/>
              <w:left w:val="nil"/>
              <w:bottom w:val="single" w:sz="4" w:space="0" w:color="auto"/>
              <w:right w:val="single" w:sz="4" w:space="0" w:color="auto"/>
            </w:tcBorders>
            <w:shd w:val="clear" w:color="auto" w:fill="auto"/>
            <w:vAlign w:val="center"/>
            <w:hideMark/>
          </w:tcPr>
          <w:p w:rsidR="00122267" w:rsidRPr="00122267" w:rsidRDefault="00122267" w:rsidP="00122267">
            <w:pPr>
              <w:jc w:val="center"/>
              <w:rPr>
                <w:b/>
                <w:bCs/>
                <w:sz w:val="18"/>
                <w:szCs w:val="18"/>
              </w:rPr>
            </w:pPr>
            <w:r w:rsidRPr="00122267">
              <w:rPr>
                <w:b/>
                <w:bCs/>
                <w:sz w:val="18"/>
                <w:szCs w:val="18"/>
              </w:rPr>
              <w:t xml:space="preserve"> F.F.O. 2019 (previsione) </w:t>
            </w:r>
          </w:p>
        </w:tc>
      </w:tr>
      <w:tr w:rsidR="00122267" w:rsidRPr="00122267" w:rsidTr="00122267">
        <w:trPr>
          <w:trHeight w:val="799"/>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122267" w:rsidRPr="00122267" w:rsidRDefault="00122267" w:rsidP="00122267">
            <w:pPr>
              <w:jc w:val="center"/>
              <w:rPr>
                <w:b/>
                <w:bCs/>
                <w:sz w:val="18"/>
                <w:szCs w:val="18"/>
              </w:rPr>
            </w:pPr>
            <w:r w:rsidRPr="00122267">
              <w:rPr>
                <w:b/>
                <w:bCs/>
                <w:sz w:val="18"/>
                <w:szCs w:val="18"/>
              </w:rPr>
              <w:t xml:space="preserve"> Quota base comprensiva della programmazione triennale </w:t>
            </w:r>
          </w:p>
        </w:tc>
        <w:tc>
          <w:tcPr>
            <w:tcW w:w="1660" w:type="dxa"/>
            <w:tcBorders>
              <w:top w:val="nil"/>
              <w:left w:val="nil"/>
              <w:bottom w:val="single" w:sz="4" w:space="0" w:color="auto"/>
              <w:right w:val="single" w:sz="4" w:space="0" w:color="auto"/>
            </w:tcBorders>
            <w:shd w:val="clear" w:color="auto" w:fill="auto"/>
            <w:vAlign w:val="center"/>
            <w:hideMark/>
          </w:tcPr>
          <w:p w:rsidR="00122267" w:rsidRPr="00122267" w:rsidRDefault="00122267" w:rsidP="00122267">
            <w:pPr>
              <w:jc w:val="center"/>
              <w:rPr>
                <w:sz w:val="18"/>
                <w:szCs w:val="18"/>
              </w:rPr>
            </w:pPr>
            <w:r w:rsidRPr="00122267">
              <w:rPr>
                <w:sz w:val="18"/>
                <w:szCs w:val="18"/>
              </w:rPr>
              <w:t xml:space="preserve">                29.511.319 </w:t>
            </w:r>
          </w:p>
        </w:tc>
        <w:tc>
          <w:tcPr>
            <w:tcW w:w="1660" w:type="dxa"/>
            <w:tcBorders>
              <w:top w:val="nil"/>
              <w:left w:val="nil"/>
              <w:bottom w:val="single" w:sz="4" w:space="0" w:color="auto"/>
              <w:right w:val="single" w:sz="4" w:space="0" w:color="auto"/>
            </w:tcBorders>
            <w:shd w:val="clear" w:color="auto" w:fill="auto"/>
            <w:vAlign w:val="center"/>
            <w:hideMark/>
          </w:tcPr>
          <w:p w:rsidR="00122267" w:rsidRPr="00122267" w:rsidRDefault="00122267" w:rsidP="00122267">
            <w:pPr>
              <w:jc w:val="center"/>
              <w:rPr>
                <w:sz w:val="18"/>
                <w:szCs w:val="18"/>
              </w:rPr>
            </w:pPr>
            <w:r w:rsidRPr="00122267">
              <w:rPr>
                <w:sz w:val="18"/>
                <w:szCs w:val="18"/>
              </w:rPr>
              <w:t xml:space="preserve">                29.511.319 </w:t>
            </w:r>
          </w:p>
        </w:tc>
        <w:tc>
          <w:tcPr>
            <w:tcW w:w="1660" w:type="dxa"/>
            <w:tcBorders>
              <w:top w:val="nil"/>
              <w:left w:val="nil"/>
              <w:bottom w:val="single" w:sz="4" w:space="0" w:color="auto"/>
              <w:right w:val="single" w:sz="4" w:space="0" w:color="auto"/>
            </w:tcBorders>
            <w:shd w:val="clear" w:color="auto" w:fill="auto"/>
            <w:vAlign w:val="center"/>
            <w:hideMark/>
          </w:tcPr>
          <w:p w:rsidR="00122267" w:rsidRPr="00122267" w:rsidRDefault="00122267" w:rsidP="00122267">
            <w:pPr>
              <w:jc w:val="center"/>
              <w:rPr>
                <w:sz w:val="18"/>
                <w:szCs w:val="18"/>
              </w:rPr>
            </w:pPr>
            <w:r w:rsidRPr="00122267">
              <w:rPr>
                <w:sz w:val="18"/>
                <w:szCs w:val="18"/>
              </w:rPr>
              <w:t xml:space="preserve">                29.511.319 </w:t>
            </w:r>
          </w:p>
        </w:tc>
        <w:tc>
          <w:tcPr>
            <w:tcW w:w="1660" w:type="dxa"/>
            <w:tcBorders>
              <w:top w:val="nil"/>
              <w:left w:val="nil"/>
              <w:bottom w:val="single" w:sz="4" w:space="0" w:color="auto"/>
              <w:right w:val="single" w:sz="4" w:space="0" w:color="auto"/>
            </w:tcBorders>
            <w:shd w:val="clear" w:color="auto" w:fill="auto"/>
            <w:vAlign w:val="center"/>
            <w:hideMark/>
          </w:tcPr>
          <w:p w:rsidR="00122267" w:rsidRPr="00122267" w:rsidRDefault="00122267" w:rsidP="00122267">
            <w:pPr>
              <w:jc w:val="center"/>
              <w:rPr>
                <w:sz w:val="18"/>
                <w:szCs w:val="18"/>
              </w:rPr>
            </w:pPr>
            <w:r w:rsidRPr="00122267">
              <w:rPr>
                <w:sz w:val="18"/>
                <w:szCs w:val="18"/>
              </w:rPr>
              <w:t xml:space="preserve">                29.511.319 </w:t>
            </w:r>
          </w:p>
        </w:tc>
      </w:tr>
      <w:tr w:rsidR="00122267" w:rsidRPr="00122267" w:rsidTr="00122267">
        <w:trPr>
          <w:trHeight w:val="799"/>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122267" w:rsidRPr="00122267" w:rsidRDefault="00122267" w:rsidP="00122267">
            <w:pPr>
              <w:jc w:val="center"/>
              <w:rPr>
                <w:b/>
                <w:bCs/>
                <w:sz w:val="18"/>
                <w:szCs w:val="18"/>
              </w:rPr>
            </w:pPr>
            <w:r w:rsidRPr="00122267">
              <w:rPr>
                <w:b/>
                <w:bCs/>
                <w:sz w:val="18"/>
                <w:szCs w:val="18"/>
              </w:rPr>
              <w:t xml:space="preserve"> Dottorato e post laurea </w:t>
            </w:r>
          </w:p>
        </w:tc>
        <w:tc>
          <w:tcPr>
            <w:tcW w:w="1660" w:type="dxa"/>
            <w:tcBorders>
              <w:top w:val="nil"/>
              <w:left w:val="nil"/>
              <w:bottom w:val="single" w:sz="4" w:space="0" w:color="auto"/>
              <w:right w:val="single" w:sz="4" w:space="0" w:color="auto"/>
            </w:tcBorders>
            <w:shd w:val="clear" w:color="auto" w:fill="auto"/>
            <w:vAlign w:val="center"/>
            <w:hideMark/>
          </w:tcPr>
          <w:p w:rsidR="00122267" w:rsidRPr="00122267" w:rsidRDefault="00122267" w:rsidP="00122267">
            <w:pPr>
              <w:jc w:val="center"/>
              <w:rPr>
                <w:sz w:val="18"/>
                <w:szCs w:val="18"/>
              </w:rPr>
            </w:pPr>
            <w:r w:rsidRPr="00122267">
              <w:rPr>
                <w:sz w:val="18"/>
                <w:szCs w:val="18"/>
              </w:rPr>
              <w:t xml:space="preserve">                     545.460 </w:t>
            </w:r>
          </w:p>
        </w:tc>
        <w:tc>
          <w:tcPr>
            <w:tcW w:w="1660" w:type="dxa"/>
            <w:tcBorders>
              <w:top w:val="nil"/>
              <w:left w:val="nil"/>
              <w:bottom w:val="single" w:sz="4" w:space="0" w:color="auto"/>
              <w:right w:val="single" w:sz="4" w:space="0" w:color="auto"/>
            </w:tcBorders>
            <w:shd w:val="clear" w:color="auto" w:fill="auto"/>
            <w:vAlign w:val="center"/>
            <w:hideMark/>
          </w:tcPr>
          <w:p w:rsidR="00122267" w:rsidRPr="00122267" w:rsidRDefault="00122267" w:rsidP="00122267">
            <w:pPr>
              <w:jc w:val="center"/>
              <w:rPr>
                <w:sz w:val="18"/>
                <w:szCs w:val="18"/>
              </w:rPr>
            </w:pPr>
            <w:r w:rsidRPr="00122267">
              <w:rPr>
                <w:sz w:val="18"/>
                <w:szCs w:val="18"/>
              </w:rPr>
              <w:t xml:space="preserve">                     545.460 </w:t>
            </w:r>
          </w:p>
        </w:tc>
        <w:tc>
          <w:tcPr>
            <w:tcW w:w="1660" w:type="dxa"/>
            <w:tcBorders>
              <w:top w:val="nil"/>
              <w:left w:val="nil"/>
              <w:bottom w:val="single" w:sz="4" w:space="0" w:color="auto"/>
              <w:right w:val="single" w:sz="4" w:space="0" w:color="auto"/>
            </w:tcBorders>
            <w:shd w:val="clear" w:color="auto" w:fill="auto"/>
            <w:vAlign w:val="center"/>
            <w:hideMark/>
          </w:tcPr>
          <w:p w:rsidR="00122267" w:rsidRPr="00122267" w:rsidRDefault="00122267" w:rsidP="00122267">
            <w:pPr>
              <w:jc w:val="center"/>
              <w:rPr>
                <w:sz w:val="18"/>
                <w:szCs w:val="18"/>
              </w:rPr>
            </w:pPr>
            <w:r w:rsidRPr="00122267">
              <w:rPr>
                <w:sz w:val="18"/>
                <w:szCs w:val="18"/>
              </w:rPr>
              <w:t xml:space="preserve">                     545.460 </w:t>
            </w:r>
          </w:p>
        </w:tc>
        <w:tc>
          <w:tcPr>
            <w:tcW w:w="1660" w:type="dxa"/>
            <w:tcBorders>
              <w:top w:val="nil"/>
              <w:left w:val="nil"/>
              <w:bottom w:val="single" w:sz="4" w:space="0" w:color="auto"/>
              <w:right w:val="single" w:sz="4" w:space="0" w:color="auto"/>
            </w:tcBorders>
            <w:shd w:val="clear" w:color="auto" w:fill="auto"/>
            <w:vAlign w:val="center"/>
            <w:hideMark/>
          </w:tcPr>
          <w:p w:rsidR="00122267" w:rsidRPr="00122267" w:rsidRDefault="00122267" w:rsidP="00122267">
            <w:pPr>
              <w:jc w:val="center"/>
              <w:rPr>
                <w:sz w:val="18"/>
                <w:szCs w:val="18"/>
              </w:rPr>
            </w:pPr>
            <w:r w:rsidRPr="00122267">
              <w:rPr>
                <w:sz w:val="18"/>
                <w:szCs w:val="18"/>
              </w:rPr>
              <w:t xml:space="preserve">                     545.460 </w:t>
            </w:r>
          </w:p>
        </w:tc>
      </w:tr>
      <w:tr w:rsidR="00122267" w:rsidRPr="00122267" w:rsidTr="00122267">
        <w:trPr>
          <w:trHeight w:val="799"/>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122267" w:rsidRPr="00122267" w:rsidRDefault="00122267" w:rsidP="00122267">
            <w:pPr>
              <w:jc w:val="center"/>
              <w:rPr>
                <w:b/>
                <w:bCs/>
                <w:sz w:val="18"/>
                <w:szCs w:val="18"/>
              </w:rPr>
            </w:pPr>
            <w:r w:rsidRPr="00122267">
              <w:rPr>
                <w:b/>
                <w:bCs/>
                <w:sz w:val="18"/>
                <w:szCs w:val="18"/>
              </w:rPr>
              <w:t xml:space="preserve"> Piano straordinario professori di 1^ fascia </w:t>
            </w:r>
          </w:p>
        </w:tc>
        <w:tc>
          <w:tcPr>
            <w:tcW w:w="1660" w:type="dxa"/>
            <w:tcBorders>
              <w:top w:val="nil"/>
              <w:left w:val="nil"/>
              <w:bottom w:val="single" w:sz="4" w:space="0" w:color="auto"/>
              <w:right w:val="single" w:sz="4" w:space="0" w:color="auto"/>
            </w:tcBorders>
            <w:shd w:val="clear" w:color="auto" w:fill="auto"/>
            <w:vAlign w:val="center"/>
            <w:hideMark/>
          </w:tcPr>
          <w:p w:rsidR="00122267" w:rsidRPr="00122267" w:rsidRDefault="00122267" w:rsidP="00122267">
            <w:pPr>
              <w:jc w:val="center"/>
              <w:rPr>
                <w:sz w:val="18"/>
                <w:szCs w:val="18"/>
              </w:rPr>
            </w:pPr>
            <w:r w:rsidRPr="00122267">
              <w:rPr>
                <w:sz w:val="18"/>
                <w:szCs w:val="18"/>
              </w:rPr>
              <w:t xml:space="preserve">                       69.410 </w:t>
            </w:r>
          </w:p>
        </w:tc>
        <w:tc>
          <w:tcPr>
            <w:tcW w:w="1660" w:type="dxa"/>
            <w:tcBorders>
              <w:top w:val="nil"/>
              <w:left w:val="nil"/>
              <w:bottom w:val="single" w:sz="4" w:space="0" w:color="auto"/>
              <w:right w:val="single" w:sz="4" w:space="0" w:color="auto"/>
            </w:tcBorders>
            <w:shd w:val="clear" w:color="auto" w:fill="auto"/>
            <w:vAlign w:val="center"/>
            <w:hideMark/>
          </w:tcPr>
          <w:p w:rsidR="00122267" w:rsidRPr="00122267" w:rsidRDefault="00122267" w:rsidP="00122267">
            <w:pPr>
              <w:jc w:val="center"/>
              <w:rPr>
                <w:sz w:val="18"/>
                <w:szCs w:val="18"/>
              </w:rPr>
            </w:pPr>
            <w:r w:rsidRPr="00122267">
              <w:rPr>
                <w:sz w:val="18"/>
                <w:szCs w:val="18"/>
              </w:rPr>
              <w:t xml:space="preserve">                     115.684 </w:t>
            </w:r>
          </w:p>
        </w:tc>
        <w:tc>
          <w:tcPr>
            <w:tcW w:w="1660" w:type="dxa"/>
            <w:tcBorders>
              <w:top w:val="nil"/>
              <w:left w:val="nil"/>
              <w:bottom w:val="single" w:sz="4" w:space="0" w:color="auto"/>
              <w:right w:val="single" w:sz="4" w:space="0" w:color="auto"/>
            </w:tcBorders>
            <w:shd w:val="clear" w:color="auto" w:fill="auto"/>
            <w:vAlign w:val="center"/>
            <w:hideMark/>
          </w:tcPr>
          <w:p w:rsidR="00122267" w:rsidRPr="00122267" w:rsidRDefault="00122267" w:rsidP="00122267">
            <w:pPr>
              <w:jc w:val="center"/>
              <w:rPr>
                <w:sz w:val="18"/>
                <w:szCs w:val="18"/>
              </w:rPr>
            </w:pPr>
            <w:r w:rsidRPr="00122267">
              <w:rPr>
                <w:sz w:val="18"/>
                <w:szCs w:val="18"/>
              </w:rPr>
              <w:t xml:space="preserve">                     115.684 </w:t>
            </w:r>
          </w:p>
        </w:tc>
        <w:tc>
          <w:tcPr>
            <w:tcW w:w="1660" w:type="dxa"/>
            <w:tcBorders>
              <w:top w:val="nil"/>
              <w:left w:val="nil"/>
              <w:bottom w:val="single" w:sz="4" w:space="0" w:color="auto"/>
              <w:right w:val="single" w:sz="4" w:space="0" w:color="auto"/>
            </w:tcBorders>
            <w:shd w:val="clear" w:color="auto" w:fill="auto"/>
            <w:vAlign w:val="center"/>
            <w:hideMark/>
          </w:tcPr>
          <w:p w:rsidR="00122267" w:rsidRPr="00122267" w:rsidRDefault="00122267" w:rsidP="00122267">
            <w:pPr>
              <w:jc w:val="center"/>
              <w:rPr>
                <w:sz w:val="18"/>
                <w:szCs w:val="18"/>
              </w:rPr>
            </w:pPr>
            <w:r w:rsidRPr="00122267">
              <w:rPr>
                <w:sz w:val="18"/>
                <w:szCs w:val="18"/>
              </w:rPr>
              <w:t xml:space="preserve">                     115.684 </w:t>
            </w:r>
          </w:p>
        </w:tc>
      </w:tr>
      <w:tr w:rsidR="00122267" w:rsidRPr="00122267" w:rsidTr="00122267">
        <w:trPr>
          <w:trHeight w:val="799"/>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122267" w:rsidRPr="00122267" w:rsidRDefault="00122267" w:rsidP="00122267">
            <w:pPr>
              <w:jc w:val="center"/>
              <w:rPr>
                <w:b/>
                <w:bCs/>
                <w:sz w:val="18"/>
                <w:szCs w:val="18"/>
              </w:rPr>
            </w:pPr>
            <w:r w:rsidRPr="00122267">
              <w:rPr>
                <w:b/>
                <w:bCs/>
                <w:sz w:val="18"/>
                <w:szCs w:val="18"/>
              </w:rPr>
              <w:t xml:space="preserve"> Piano straordinario Ricercatori B </w:t>
            </w:r>
          </w:p>
        </w:tc>
        <w:tc>
          <w:tcPr>
            <w:tcW w:w="1660" w:type="dxa"/>
            <w:tcBorders>
              <w:top w:val="nil"/>
              <w:left w:val="nil"/>
              <w:bottom w:val="single" w:sz="4" w:space="0" w:color="auto"/>
              <w:right w:val="single" w:sz="4" w:space="0" w:color="auto"/>
            </w:tcBorders>
            <w:shd w:val="clear" w:color="auto" w:fill="auto"/>
            <w:vAlign w:val="center"/>
            <w:hideMark/>
          </w:tcPr>
          <w:p w:rsidR="00122267" w:rsidRPr="00122267" w:rsidRDefault="00122267" w:rsidP="00122267">
            <w:pPr>
              <w:jc w:val="center"/>
              <w:rPr>
                <w:sz w:val="18"/>
                <w:szCs w:val="18"/>
              </w:rPr>
            </w:pPr>
            <w:r w:rsidRPr="00122267">
              <w:rPr>
                <w:sz w:val="18"/>
                <w:szCs w:val="18"/>
              </w:rPr>
              <w:t xml:space="preserve">                     272.915 </w:t>
            </w:r>
          </w:p>
        </w:tc>
        <w:tc>
          <w:tcPr>
            <w:tcW w:w="1660" w:type="dxa"/>
            <w:tcBorders>
              <w:top w:val="nil"/>
              <w:left w:val="nil"/>
              <w:bottom w:val="single" w:sz="4" w:space="0" w:color="auto"/>
              <w:right w:val="single" w:sz="4" w:space="0" w:color="auto"/>
            </w:tcBorders>
            <w:shd w:val="clear" w:color="auto" w:fill="auto"/>
            <w:vAlign w:val="center"/>
            <w:hideMark/>
          </w:tcPr>
          <w:p w:rsidR="00122267" w:rsidRPr="00122267" w:rsidRDefault="00122267" w:rsidP="00122267">
            <w:pPr>
              <w:jc w:val="center"/>
              <w:rPr>
                <w:sz w:val="18"/>
                <w:szCs w:val="18"/>
              </w:rPr>
            </w:pPr>
            <w:r w:rsidRPr="00122267">
              <w:rPr>
                <w:sz w:val="18"/>
                <w:szCs w:val="18"/>
              </w:rPr>
              <w:t xml:space="preserve">                     293.238 </w:t>
            </w:r>
          </w:p>
        </w:tc>
        <w:tc>
          <w:tcPr>
            <w:tcW w:w="1660" w:type="dxa"/>
            <w:tcBorders>
              <w:top w:val="nil"/>
              <w:left w:val="nil"/>
              <w:bottom w:val="single" w:sz="4" w:space="0" w:color="auto"/>
              <w:right w:val="single" w:sz="4" w:space="0" w:color="auto"/>
            </w:tcBorders>
            <w:shd w:val="clear" w:color="auto" w:fill="auto"/>
            <w:vAlign w:val="center"/>
            <w:hideMark/>
          </w:tcPr>
          <w:p w:rsidR="00122267" w:rsidRPr="00122267" w:rsidRDefault="00122267" w:rsidP="00122267">
            <w:pPr>
              <w:jc w:val="center"/>
              <w:rPr>
                <w:sz w:val="18"/>
                <w:szCs w:val="18"/>
              </w:rPr>
            </w:pPr>
            <w:r w:rsidRPr="00122267">
              <w:rPr>
                <w:sz w:val="18"/>
                <w:szCs w:val="18"/>
              </w:rPr>
              <w:t xml:space="preserve">                     293.238 </w:t>
            </w:r>
          </w:p>
        </w:tc>
        <w:tc>
          <w:tcPr>
            <w:tcW w:w="1660" w:type="dxa"/>
            <w:tcBorders>
              <w:top w:val="nil"/>
              <w:left w:val="nil"/>
              <w:bottom w:val="single" w:sz="4" w:space="0" w:color="auto"/>
              <w:right w:val="single" w:sz="4" w:space="0" w:color="auto"/>
            </w:tcBorders>
            <w:shd w:val="clear" w:color="auto" w:fill="auto"/>
            <w:vAlign w:val="center"/>
            <w:hideMark/>
          </w:tcPr>
          <w:p w:rsidR="00122267" w:rsidRPr="00122267" w:rsidRDefault="00122267" w:rsidP="00122267">
            <w:pPr>
              <w:jc w:val="center"/>
              <w:rPr>
                <w:sz w:val="18"/>
                <w:szCs w:val="18"/>
              </w:rPr>
            </w:pPr>
            <w:r w:rsidRPr="00122267">
              <w:rPr>
                <w:sz w:val="18"/>
                <w:szCs w:val="18"/>
              </w:rPr>
              <w:t xml:space="preserve">                     293.238 </w:t>
            </w:r>
          </w:p>
        </w:tc>
      </w:tr>
      <w:tr w:rsidR="00122267" w:rsidRPr="00122267" w:rsidTr="00122267">
        <w:trPr>
          <w:trHeight w:val="799"/>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122267" w:rsidRPr="00122267" w:rsidRDefault="00122267" w:rsidP="00122267">
            <w:pPr>
              <w:jc w:val="center"/>
              <w:rPr>
                <w:b/>
                <w:bCs/>
                <w:sz w:val="18"/>
                <w:szCs w:val="18"/>
              </w:rPr>
            </w:pPr>
            <w:r w:rsidRPr="00122267">
              <w:rPr>
                <w:b/>
                <w:bCs/>
                <w:sz w:val="18"/>
                <w:szCs w:val="18"/>
              </w:rPr>
              <w:t xml:space="preserve"> Altro </w:t>
            </w:r>
          </w:p>
        </w:tc>
        <w:tc>
          <w:tcPr>
            <w:tcW w:w="1660" w:type="dxa"/>
            <w:tcBorders>
              <w:top w:val="nil"/>
              <w:left w:val="nil"/>
              <w:bottom w:val="single" w:sz="4" w:space="0" w:color="auto"/>
              <w:right w:val="single" w:sz="4" w:space="0" w:color="auto"/>
            </w:tcBorders>
            <w:shd w:val="clear" w:color="auto" w:fill="auto"/>
            <w:vAlign w:val="center"/>
            <w:hideMark/>
          </w:tcPr>
          <w:p w:rsidR="00122267" w:rsidRPr="00122267" w:rsidRDefault="00122267" w:rsidP="00122267">
            <w:pPr>
              <w:jc w:val="center"/>
              <w:rPr>
                <w:sz w:val="18"/>
                <w:szCs w:val="18"/>
              </w:rPr>
            </w:pPr>
            <w:r w:rsidRPr="00122267">
              <w:rPr>
                <w:sz w:val="18"/>
                <w:szCs w:val="18"/>
              </w:rPr>
              <w:t xml:space="preserve">                  7.321.418 </w:t>
            </w:r>
          </w:p>
        </w:tc>
        <w:tc>
          <w:tcPr>
            <w:tcW w:w="1660" w:type="dxa"/>
            <w:tcBorders>
              <w:top w:val="nil"/>
              <w:left w:val="nil"/>
              <w:bottom w:val="single" w:sz="4" w:space="0" w:color="auto"/>
              <w:right w:val="single" w:sz="4" w:space="0" w:color="auto"/>
            </w:tcBorders>
            <w:shd w:val="clear" w:color="auto" w:fill="auto"/>
            <w:vAlign w:val="center"/>
            <w:hideMark/>
          </w:tcPr>
          <w:p w:rsidR="00122267" w:rsidRPr="00122267" w:rsidRDefault="00122267" w:rsidP="00122267">
            <w:pPr>
              <w:jc w:val="center"/>
              <w:rPr>
                <w:sz w:val="18"/>
                <w:szCs w:val="18"/>
              </w:rPr>
            </w:pPr>
            <w:r w:rsidRPr="00122267">
              <w:rPr>
                <w:sz w:val="18"/>
                <w:szCs w:val="18"/>
              </w:rPr>
              <w:t xml:space="preserve">                  7.358.025 </w:t>
            </w:r>
          </w:p>
        </w:tc>
        <w:tc>
          <w:tcPr>
            <w:tcW w:w="1660" w:type="dxa"/>
            <w:tcBorders>
              <w:top w:val="nil"/>
              <w:left w:val="nil"/>
              <w:bottom w:val="single" w:sz="4" w:space="0" w:color="auto"/>
              <w:right w:val="single" w:sz="4" w:space="0" w:color="auto"/>
            </w:tcBorders>
            <w:shd w:val="clear" w:color="auto" w:fill="auto"/>
            <w:vAlign w:val="center"/>
            <w:hideMark/>
          </w:tcPr>
          <w:p w:rsidR="00122267" w:rsidRPr="00122267" w:rsidRDefault="00122267" w:rsidP="00122267">
            <w:pPr>
              <w:jc w:val="center"/>
              <w:rPr>
                <w:sz w:val="18"/>
                <w:szCs w:val="18"/>
              </w:rPr>
            </w:pPr>
            <w:r w:rsidRPr="00122267">
              <w:rPr>
                <w:sz w:val="18"/>
                <w:szCs w:val="18"/>
              </w:rPr>
              <w:t xml:space="preserve">                  7.358.025 </w:t>
            </w:r>
          </w:p>
        </w:tc>
        <w:tc>
          <w:tcPr>
            <w:tcW w:w="1660" w:type="dxa"/>
            <w:tcBorders>
              <w:top w:val="nil"/>
              <w:left w:val="nil"/>
              <w:bottom w:val="single" w:sz="4" w:space="0" w:color="auto"/>
              <w:right w:val="single" w:sz="4" w:space="0" w:color="auto"/>
            </w:tcBorders>
            <w:shd w:val="clear" w:color="auto" w:fill="auto"/>
            <w:vAlign w:val="center"/>
            <w:hideMark/>
          </w:tcPr>
          <w:p w:rsidR="00122267" w:rsidRPr="00122267" w:rsidRDefault="00122267" w:rsidP="00122267">
            <w:pPr>
              <w:jc w:val="center"/>
              <w:rPr>
                <w:sz w:val="18"/>
                <w:szCs w:val="18"/>
              </w:rPr>
            </w:pPr>
            <w:r w:rsidRPr="00122267">
              <w:rPr>
                <w:sz w:val="18"/>
                <w:szCs w:val="18"/>
              </w:rPr>
              <w:t xml:space="preserve">                  7.358.025 </w:t>
            </w:r>
          </w:p>
        </w:tc>
      </w:tr>
      <w:tr w:rsidR="00122267" w:rsidRPr="00122267" w:rsidTr="00122267">
        <w:trPr>
          <w:trHeight w:val="799"/>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122267" w:rsidRPr="00122267" w:rsidRDefault="00122267" w:rsidP="00122267">
            <w:pPr>
              <w:jc w:val="center"/>
              <w:rPr>
                <w:b/>
                <w:bCs/>
                <w:sz w:val="18"/>
                <w:szCs w:val="18"/>
              </w:rPr>
            </w:pPr>
            <w:r w:rsidRPr="00122267">
              <w:rPr>
                <w:b/>
                <w:bCs/>
                <w:sz w:val="18"/>
                <w:szCs w:val="18"/>
              </w:rPr>
              <w:t xml:space="preserve"> Totale </w:t>
            </w:r>
          </w:p>
        </w:tc>
        <w:tc>
          <w:tcPr>
            <w:tcW w:w="1660" w:type="dxa"/>
            <w:tcBorders>
              <w:top w:val="nil"/>
              <w:left w:val="nil"/>
              <w:bottom w:val="single" w:sz="4" w:space="0" w:color="auto"/>
              <w:right w:val="single" w:sz="4" w:space="0" w:color="auto"/>
            </w:tcBorders>
            <w:shd w:val="clear" w:color="auto" w:fill="auto"/>
            <w:vAlign w:val="center"/>
            <w:hideMark/>
          </w:tcPr>
          <w:p w:rsidR="00122267" w:rsidRPr="00122267" w:rsidRDefault="00122267" w:rsidP="00122267">
            <w:pPr>
              <w:jc w:val="center"/>
              <w:rPr>
                <w:b/>
                <w:bCs/>
                <w:sz w:val="18"/>
                <w:szCs w:val="18"/>
              </w:rPr>
            </w:pPr>
            <w:r w:rsidRPr="00122267">
              <w:rPr>
                <w:b/>
                <w:bCs/>
                <w:sz w:val="18"/>
                <w:szCs w:val="18"/>
              </w:rPr>
              <w:t xml:space="preserve">                37.720.522 </w:t>
            </w:r>
          </w:p>
        </w:tc>
        <w:tc>
          <w:tcPr>
            <w:tcW w:w="1660" w:type="dxa"/>
            <w:tcBorders>
              <w:top w:val="nil"/>
              <w:left w:val="nil"/>
              <w:bottom w:val="single" w:sz="4" w:space="0" w:color="auto"/>
              <w:right w:val="single" w:sz="4" w:space="0" w:color="auto"/>
            </w:tcBorders>
            <w:shd w:val="clear" w:color="auto" w:fill="auto"/>
            <w:vAlign w:val="center"/>
            <w:hideMark/>
          </w:tcPr>
          <w:p w:rsidR="00122267" w:rsidRPr="00122267" w:rsidRDefault="00122267" w:rsidP="00122267">
            <w:pPr>
              <w:jc w:val="center"/>
              <w:rPr>
                <w:b/>
                <w:bCs/>
                <w:sz w:val="18"/>
                <w:szCs w:val="18"/>
              </w:rPr>
            </w:pPr>
            <w:r w:rsidRPr="00122267">
              <w:rPr>
                <w:b/>
                <w:bCs/>
                <w:sz w:val="18"/>
                <w:szCs w:val="18"/>
              </w:rPr>
              <w:t xml:space="preserve">                37.823.726 </w:t>
            </w:r>
          </w:p>
        </w:tc>
        <w:tc>
          <w:tcPr>
            <w:tcW w:w="1660" w:type="dxa"/>
            <w:tcBorders>
              <w:top w:val="nil"/>
              <w:left w:val="nil"/>
              <w:bottom w:val="single" w:sz="4" w:space="0" w:color="auto"/>
              <w:right w:val="single" w:sz="4" w:space="0" w:color="auto"/>
            </w:tcBorders>
            <w:shd w:val="clear" w:color="auto" w:fill="auto"/>
            <w:vAlign w:val="center"/>
            <w:hideMark/>
          </w:tcPr>
          <w:p w:rsidR="00122267" w:rsidRPr="00122267" w:rsidRDefault="00122267" w:rsidP="00122267">
            <w:pPr>
              <w:jc w:val="center"/>
              <w:rPr>
                <w:b/>
                <w:bCs/>
                <w:sz w:val="18"/>
                <w:szCs w:val="18"/>
              </w:rPr>
            </w:pPr>
            <w:r w:rsidRPr="00122267">
              <w:rPr>
                <w:b/>
                <w:bCs/>
                <w:sz w:val="18"/>
                <w:szCs w:val="18"/>
              </w:rPr>
              <w:t xml:space="preserve">                37.823.726 </w:t>
            </w:r>
          </w:p>
        </w:tc>
        <w:tc>
          <w:tcPr>
            <w:tcW w:w="1660" w:type="dxa"/>
            <w:tcBorders>
              <w:top w:val="nil"/>
              <w:left w:val="nil"/>
              <w:bottom w:val="single" w:sz="4" w:space="0" w:color="auto"/>
              <w:right w:val="single" w:sz="4" w:space="0" w:color="auto"/>
            </w:tcBorders>
            <w:shd w:val="clear" w:color="auto" w:fill="auto"/>
            <w:vAlign w:val="center"/>
            <w:hideMark/>
          </w:tcPr>
          <w:p w:rsidR="00122267" w:rsidRPr="00122267" w:rsidRDefault="00122267" w:rsidP="00122267">
            <w:pPr>
              <w:jc w:val="center"/>
              <w:rPr>
                <w:b/>
                <w:bCs/>
                <w:sz w:val="18"/>
                <w:szCs w:val="18"/>
              </w:rPr>
            </w:pPr>
            <w:r w:rsidRPr="00122267">
              <w:rPr>
                <w:b/>
                <w:bCs/>
                <w:sz w:val="18"/>
                <w:szCs w:val="18"/>
              </w:rPr>
              <w:t xml:space="preserve">                37.823.726 </w:t>
            </w:r>
          </w:p>
        </w:tc>
      </w:tr>
    </w:tbl>
    <w:p w:rsidR="00122267" w:rsidRDefault="00122267" w:rsidP="001D05EA">
      <w:pPr>
        <w:ind w:firstLine="720"/>
        <w:jc w:val="both"/>
        <w:rPr>
          <w:color w:val="548DD4" w:themeColor="text2" w:themeTint="99"/>
          <w:sz w:val="24"/>
          <w:szCs w:val="24"/>
        </w:rPr>
      </w:pPr>
    </w:p>
    <w:p w:rsidR="002B4C60" w:rsidRDefault="002B4C60" w:rsidP="001D05EA">
      <w:pPr>
        <w:ind w:firstLine="720"/>
        <w:jc w:val="both"/>
        <w:rPr>
          <w:color w:val="548DD4" w:themeColor="text2" w:themeTint="99"/>
          <w:sz w:val="24"/>
          <w:szCs w:val="24"/>
        </w:rPr>
      </w:pPr>
    </w:p>
    <w:p w:rsidR="002B4C60" w:rsidRDefault="002B4C60" w:rsidP="001D05EA">
      <w:pPr>
        <w:ind w:firstLine="720"/>
        <w:jc w:val="both"/>
        <w:rPr>
          <w:color w:val="548DD4" w:themeColor="text2" w:themeTint="99"/>
          <w:sz w:val="24"/>
          <w:szCs w:val="24"/>
        </w:rPr>
      </w:pPr>
    </w:p>
    <w:p w:rsidR="002B4C60" w:rsidRDefault="002B4C60" w:rsidP="001D05EA">
      <w:pPr>
        <w:ind w:firstLine="720"/>
        <w:jc w:val="both"/>
        <w:rPr>
          <w:color w:val="548DD4" w:themeColor="text2" w:themeTint="99"/>
          <w:sz w:val="24"/>
          <w:szCs w:val="24"/>
        </w:rPr>
      </w:pPr>
    </w:p>
    <w:p w:rsidR="00B036D6" w:rsidRDefault="00B036D6" w:rsidP="009E6404">
      <w:pPr>
        <w:jc w:val="both"/>
        <w:rPr>
          <w:b/>
          <w:i/>
          <w:sz w:val="24"/>
          <w:szCs w:val="24"/>
        </w:rPr>
      </w:pPr>
    </w:p>
    <w:p w:rsidR="00B036D6" w:rsidRDefault="00B036D6" w:rsidP="009E6404">
      <w:pPr>
        <w:jc w:val="both"/>
        <w:rPr>
          <w:b/>
          <w:i/>
          <w:sz w:val="24"/>
          <w:szCs w:val="24"/>
        </w:rPr>
      </w:pPr>
    </w:p>
    <w:p w:rsidR="00B036D6" w:rsidRDefault="00B036D6" w:rsidP="009E6404">
      <w:pPr>
        <w:jc w:val="both"/>
        <w:rPr>
          <w:b/>
          <w:i/>
          <w:sz w:val="24"/>
          <w:szCs w:val="24"/>
        </w:rPr>
      </w:pPr>
    </w:p>
    <w:p w:rsidR="00B036D6" w:rsidRDefault="00B036D6" w:rsidP="009E6404">
      <w:pPr>
        <w:jc w:val="both"/>
        <w:rPr>
          <w:b/>
          <w:i/>
          <w:sz w:val="24"/>
          <w:szCs w:val="24"/>
        </w:rPr>
      </w:pPr>
    </w:p>
    <w:p w:rsidR="00B036D6" w:rsidRDefault="00B036D6" w:rsidP="009E6404">
      <w:pPr>
        <w:jc w:val="both"/>
        <w:rPr>
          <w:b/>
          <w:i/>
          <w:sz w:val="24"/>
          <w:szCs w:val="24"/>
        </w:rPr>
      </w:pPr>
    </w:p>
    <w:p w:rsidR="00B036D6" w:rsidRDefault="00B036D6" w:rsidP="009E6404">
      <w:pPr>
        <w:jc w:val="both"/>
        <w:rPr>
          <w:b/>
          <w:i/>
          <w:sz w:val="24"/>
          <w:szCs w:val="24"/>
        </w:rPr>
      </w:pPr>
    </w:p>
    <w:p w:rsidR="00B036D6" w:rsidRDefault="00B036D6" w:rsidP="009E6404">
      <w:pPr>
        <w:jc w:val="both"/>
        <w:rPr>
          <w:b/>
          <w:i/>
          <w:sz w:val="24"/>
          <w:szCs w:val="24"/>
        </w:rPr>
      </w:pPr>
    </w:p>
    <w:p w:rsidR="00B036D6" w:rsidRDefault="00B036D6" w:rsidP="009E6404">
      <w:pPr>
        <w:jc w:val="both"/>
        <w:rPr>
          <w:b/>
          <w:i/>
          <w:sz w:val="24"/>
          <w:szCs w:val="24"/>
        </w:rPr>
      </w:pPr>
    </w:p>
    <w:p w:rsidR="00B036D6" w:rsidRDefault="00B036D6" w:rsidP="009E6404">
      <w:pPr>
        <w:jc w:val="both"/>
        <w:rPr>
          <w:b/>
          <w:i/>
          <w:sz w:val="24"/>
          <w:szCs w:val="24"/>
        </w:rPr>
      </w:pPr>
    </w:p>
    <w:p w:rsidR="00B036D6" w:rsidRDefault="00B036D6" w:rsidP="009E6404">
      <w:pPr>
        <w:jc w:val="both"/>
        <w:rPr>
          <w:b/>
          <w:i/>
          <w:sz w:val="24"/>
          <w:szCs w:val="24"/>
        </w:rPr>
      </w:pPr>
    </w:p>
    <w:p w:rsidR="00B036D6" w:rsidRDefault="00B036D6" w:rsidP="009E6404">
      <w:pPr>
        <w:jc w:val="both"/>
        <w:rPr>
          <w:b/>
          <w:i/>
          <w:sz w:val="24"/>
          <w:szCs w:val="24"/>
        </w:rPr>
      </w:pPr>
    </w:p>
    <w:p w:rsidR="00B036D6" w:rsidRDefault="00B036D6" w:rsidP="009E6404">
      <w:pPr>
        <w:jc w:val="both"/>
        <w:rPr>
          <w:b/>
          <w:i/>
          <w:sz w:val="24"/>
          <w:szCs w:val="24"/>
        </w:rPr>
      </w:pPr>
    </w:p>
    <w:p w:rsidR="00B036D6" w:rsidRDefault="00B036D6" w:rsidP="009E6404">
      <w:pPr>
        <w:jc w:val="both"/>
        <w:rPr>
          <w:b/>
          <w:i/>
          <w:sz w:val="24"/>
          <w:szCs w:val="24"/>
        </w:rPr>
      </w:pPr>
    </w:p>
    <w:p w:rsidR="00B036D6" w:rsidRDefault="00B036D6" w:rsidP="009E6404">
      <w:pPr>
        <w:jc w:val="both"/>
        <w:rPr>
          <w:b/>
          <w:i/>
          <w:sz w:val="24"/>
          <w:szCs w:val="24"/>
        </w:rPr>
      </w:pPr>
    </w:p>
    <w:p w:rsidR="00B036D6" w:rsidRDefault="00B036D6" w:rsidP="009E6404">
      <w:pPr>
        <w:jc w:val="both"/>
        <w:rPr>
          <w:b/>
          <w:i/>
          <w:sz w:val="24"/>
          <w:szCs w:val="24"/>
        </w:rPr>
      </w:pPr>
    </w:p>
    <w:p w:rsidR="009E6404" w:rsidRPr="00076C41" w:rsidRDefault="009E6404" w:rsidP="001108F0">
      <w:pPr>
        <w:pStyle w:val="Titolo3"/>
        <w:ind w:left="0"/>
        <w:jc w:val="both"/>
        <w:rPr>
          <w:i/>
        </w:rPr>
      </w:pPr>
      <w:bookmarkStart w:id="5" w:name="_Toc469659513"/>
      <w:r w:rsidRPr="00076C41">
        <w:rPr>
          <w:i/>
        </w:rPr>
        <w:t>2.1.2 Contribuzione studentesca e altri ricavi di natura contributiva</w:t>
      </w:r>
      <w:bookmarkEnd w:id="5"/>
    </w:p>
    <w:p w:rsidR="00CB7B78" w:rsidRPr="008C4829" w:rsidRDefault="00CB7B78" w:rsidP="00884306">
      <w:pPr>
        <w:autoSpaceDE w:val="0"/>
        <w:autoSpaceDN w:val="0"/>
        <w:adjustRightInd w:val="0"/>
        <w:ind w:firstLine="720"/>
        <w:jc w:val="both"/>
        <w:rPr>
          <w:color w:val="548DD4" w:themeColor="text2" w:themeTint="99"/>
          <w:sz w:val="24"/>
          <w:szCs w:val="24"/>
        </w:rPr>
      </w:pPr>
    </w:p>
    <w:p w:rsidR="005F5522" w:rsidRDefault="009E6404" w:rsidP="009E6404">
      <w:pPr>
        <w:ind w:firstLine="720"/>
        <w:jc w:val="both"/>
        <w:rPr>
          <w:sz w:val="24"/>
          <w:szCs w:val="24"/>
        </w:rPr>
      </w:pPr>
      <w:r w:rsidRPr="005F5522">
        <w:rPr>
          <w:sz w:val="24"/>
          <w:szCs w:val="24"/>
        </w:rPr>
        <w:t>La previsione della contribuzione student</w:t>
      </w:r>
      <w:r w:rsidR="009F0C56">
        <w:rPr>
          <w:sz w:val="24"/>
          <w:szCs w:val="24"/>
        </w:rPr>
        <w:t>esca complessiva per l’anno 2017</w:t>
      </w:r>
      <w:r w:rsidRPr="005F5522">
        <w:rPr>
          <w:sz w:val="24"/>
          <w:szCs w:val="24"/>
        </w:rPr>
        <w:t xml:space="preserve"> non può prescindere dalla valutazione di due elementi: il numero degli iscritti ed immatricolati e la corretta denunzia dei redditi posseduti dal nucleo familiare degli studenti iscritti. </w:t>
      </w:r>
    </w:p>
    <w:p w:rsidR="005F5522" w:rsidRPr="005F5522" w:rsidRDefault="005F5522" w:rsidP="005F5522">
      <w:pPr>
        <w:ind w:firstLine="720"/>
        <w:jc w:val="both"/>
        <w:rPr>
          <w:sz w:val="24"/>
          <w:szCs w:val="24"/>
        </w:rPr>
      </w:pPr>
      <w:r w:rsidRPr="005F5522">
        <w:rPr>
          <w:sz w:val="24"/>
          <w:szCs w:val="24"/>
        </w:rPr>
        <w:t xml:space="preserve">Come primo elemento valutativo della stima della contribuzione studentesca, nella </w:t>
      </w:r>
      <w:r w:rsidRPr="005F5522">
        <w:rPr>
          <w:i/>
          <w:sz w:val="24"/>
          <w:szCs w:val="24"/>
        </w:rPr>
        <w:t>Tabella 2</w:t>
      </w:r>
      <w:r>
        <w:rPr>
          <w:sz w:val="24"/>
          <w:szCs w:val="24"/>
        </w:rPr>
        <w:t xml:space="preserve"> </w:t>
      </w:r>
      <w:r w:rsidRPr="005F5522">
        <w:rPr>
          <w:sz w:val="24"/>
          <w:szCs w:val="24"/>
        </w:rPr>
        <w:t>viene riportato l’andamento degli studenti iscritti al Politecnico di Bari che, così come si osserva anche a livello nazionale, è in discesa ad un tasso piuttosto costante nel tempo.</w:t>
      </w:r>
    </w:p>
    <w:p w:rsidR="005F5522" w:rsidRPr="005F5522" w:rsidRDefault="005F5522" w:rsidP="005F5522">
      <w:pPr>
        <w:ind w:firstLine="720"/>
        <w:jc w:val="both"/>
        <w:rPr>
          <w:sz w:val="24"/>
          <w:szCs w:val="24"/>
        </w:rPr>
      </w:pPr>
      <w:r w:rsidRPr="005F5522">
        <w:rPr>
          <w:sz w:val="24"/>
          <w:szCs w:val="24"/>
        </w:rPr>
        <w:t>Il dato degli iscritti per l’a.a. 2016/17 è da considerarsi provvisorio, in quanto le procedure di iscrizione terminano a fine dicembre.</w:t>
      </w:r>
    </w:p>
    <w:p w:rsidR="005F5522" w:rsidRPr="005F5522" w:rsidRDefault="005F5522" w:rsidP="005F5522">
      <w:pPr>
        <w:ind w:firstLine="720"/>
        <w:jc w:val="both"/>
        <w:rPr>
          <w:rFonts w:ascii="Calibri" w:eastAsia="Calibri" w:hAnsi="Calibri"/>
          <w:sz w:val="17"/>
          <w:szCs w:val="17"/>
        </w:rPr>
      </w:pPr>
      <w:r w:rsidRPr="005F5522">
        <w:rPr>
          <w:rFonts w:ascii="Calibri" w:eastAsia="Calibri" w:hAnsi="Calibri"/>
          <w:sz w:val="17"/>
          <w:szCs w:val="17"/>
        </w:rPr>
        <w:t> </w:t>
      </w:r>
    </w:p>
    <w:p w:rsidR="005F5522" w:rsidRPr="005F5522" w:rsidRDefault="00197676" w:rsidP="005F5522">
      <w:pPr>
        <w:ind w:firstLine="720"/>
        <w:jc w:val="both"/>
        <w:rPr>
          <w:i/>
        </w:rPr>
      </w:pPr>
      <w:r>
        <w:rPr>
          <w:i/>
        </w:rPr>
        <w:t xml:space="preserve">Tabella </w:t>
      </w:r>
      <w:r w:rsidR="004C005A">
        <w:rPr>
          <w:i/>
        </w:rPr>
        <w:t>2</w:t>
      </w:r>
      <w:r>
        <w:rPr>
          <w:i/>
        </w:rPr>
        <w:t xml:space="preserve">: </w:t>
      </w:r>
      <w:r w:rsidR="005F5522" w:rsidRPr="005F5522">
        <w:rPr>
          <w:i/>
        </w:rPr>
        <w:t>Andamento degli studenti iscritti al Politecnico di Bari – A.A. 2012-13 al 2016-17</w:t>
      </w:r>
    </w:p>
    <w:p w:rsidR="005F5522" w:rsidRPr="005F5522" w:rsidRDefault="005F5522" w:rsidP="005F5522">
      <w:pPr>
        <w:ind w:firstLine="720"/>
        <w:jc w:val="both"/>
        <w:rPr>
          <w:rFonts w:ascii="Calibri" w:eastAsia="Calibri" w:hAnsi="Calibri"/>
          <w:sz w:val="17"/>
          <w:szCs w:val="17"/>
        </w:rPr>
      </w:pPr>
    </w:p>
    <w:tbl>
      <w:tblPr>
        <w:tblW w:w="0" w:type="auto"/>
        <w:jc w:val="center"/>
        <w:tblCellMar>
          <w:left w:w="0" w:type="dxa"/>
          <w:right w:w="0" w:type="dxa"/>
        </w:tblCellMar>
        <w:tblLook w:val="04A0" w:firstRow="1" w:lastRow="0" w:firstColumn="1" w:lastColumn="0" w:noHBand="0" w:noVBand="1"/>
      </w:tblPr>
      <w:tblGrid>
        <w:gridCol w:w="4987"/>
        <w:gridCol w:w="841"/>
        <w:gridCol w:w="841"/>
        <w:gridCol w:w="841"/>
        <w:gridCol w:w="841"/>
        <w:gridCol w:w="630"/>
      </w:tblGrid>
      <w:tr w:rsidR="005F5522" w:rsidRPr="005F5522" w:rsidTr="005518DF">
        <w:trPr>
          <w:jc w:val="center"/>
        </w:trPr>
        <w:tc>
          <w:tcPr>
            <w:tcW w:w="4987" w:type="dxa"/>
            <w:tcBorders>
              <w:top w:val="single" w:sz="6" w:space="0" w:color="auto"/>
              <w:left w:val="single" w:sz="2" w:space="0" w:color="auto"/>
              <w:bottom w:val="single" w:sz="4" w:space="0" w:color="auto"/>
              <w:right w:val="single" w:sz="2" w:space="0" w:color="auto"/>
            </w:tcBorders>
            <w:tcMar>
              <w:top w:w="0" w:type="dxa"/>
              <w:left w:w="108" w:type="dxa"/>
              <w:bottom w:w="0" w:type="dxa"/>
              <w:right w:w="108" w:type="dxa"/>
            </w:tcMar>
            <w:hideMark/>
          </w:tcPr>
          <w:p w:rsidR="005F5522" w:rsidRPr="005F5522" w:rsidRDefault="005F5522" w:rsidP="005F5522">
            <w:pPr>
              <w:rPr>
                <w:rFonts w:ascii="Calibri" w:eastAsia="Calibri" w:hAnsi="Calibri"/>
                <w:sz w:val="18"/>
                <w:szCs w:val="18"/>
              </w:rPr>
            </w:pPr>
            <w:r w:rsidRPr="005F5522">
              <w:rPr>
                <w:rFonts w:ascii="Calibri" w:eastAsia="Calibri" w:hAnsi="Calibri"/>
                <w:b/>
                <w:bCs/>
                <w:sz w:val="18"/>
                <w:szCs w:val="18"/>
              </w:rPr>
              <w:t>Studenti iscritti</w:t>
            </w:r>
          </w:p>
        </w:tc>
        <w:tc>
          <w:tcPr>
            <w:tcW w:w="0" w:type="auto"/>
            <w:tcBorders>
              <w:top w:val="single" w:sz="6" w:space="0" w:color="auto"/>
              <w:left w:val="single" w:sz="2" w:space="0" w:color="auto"/>
              <w:bottom w:val="single" w:sz="4" w:space="0" w:color="auto"/>
              <w:right w:val="single" w:sz="2" w:space="0" w:color="auto"/>
            </w:tcBorders>
            <w:tcMar>
              <w:top w:w="0" w:type="dxa"/>
              <w:left w:w="108" w:type="dxa"/>
              <w:bottom w:w="0" w:type="dxa"/>
              <w:right w:w="108" w:type="dxa"/>
            </w:tcMar>
            <w:hideMark/>
          </w:tcPr>
          <w:p w:rsidR="005F5522" w:rsidRPr="005F5522" w:rsidRDefault="005F5522" w:rsidP="005F5522">
            <w:pPr>
              <w:rPr>
                <w:rFonts w:ascii="Calibri" w:eastAsia="Calibri" w:hAnsi="Calibri"/>
                <w:sz w:val="18"/>
                <w:szCs w:val="18"/>
              </w:rPr>
            </w:pPr>
            <w:r w:rsidRPr="005F5522">
              <w:rPr>
                <w:rFonts w:ascii="Calibri" w:eastAsia="Calibri" w:hAnsi="Calibri"/>
                <w:b/>
                <w:bCs/>
                <w:sz w:val="18"/>
                <w:szCs w:val="18"/>
              </w:rPr>
              <w:t>2012/13</w:t>
            </w:r>
          </w:p>
        </w:tc>
        <w:tc>
          <w:tcPr>
            <w:tcW w:w="0" w:type="auto"/>
            <w:tcBorders>
              <w:top w:val="single" w:sz="6" w:space="0" w:color="auto"/>
              <w:left w:val="single" w:sz="2" w:space="0" w:color="auto"/>
              <w:bottom w:val="single" w:sz="4" w:space="0" w:color="auto"/>
              <w:right w:val="single" w:sz="2" w:space="0" w:color="auto"/>
            </w:tcBorders>
            <w:tcMar>
              <w:top w:w="0" w:type="dxa"/>
              <w:left w:w="108" w:type="dxa"/>
              <w:bottom w:w="0" w:type="dxa"/>
              <w:right w:w="108" w:type="dxa"/>
            </w:tcMar>
            <w:hideMark/>
          </w:tcPr>
          <w:p w:rsidR="005F5522" w:rsidRPr="005F5522" w:rsidRDefault="005F5522" w:rsidP="005F5522">
            <w:pPr>
              <w:rPr>
                <w:rFonts w:ascii="Calibri" w:eastAsia="Calibri" w:hAnsi="Calibri"/>
                <w:sz w:val="18"/>
                <w:szCs w:val="18"/>
              </w:rPr>
            </w:pPr>
            <w:r w:rsidRPr="005F5522">
              <w:rPr>
                <w:rFonts w:ascii="Calibri" w:eastAsia="Calibri" w:hAnsi="Calibri"/>
                <w:b/>
                <w:bCs/>
                <w:sz w:val="18"/>
                <w:szCs w:val="18"/>
              </w:rPr>
              <w:t>2013/14</w:t>
            </w:r>
          </w:p>
        </w:tc>
        <w:tc>
          <w:tcPr>
            <w:tcW w:w="0" w:type="auto"/>
            <w:tcBorders>
              <w:top w:val="single" w:sz="6" w:space="0" w:color="auto"/>
              <w:left w:val="single" w:sz="2" w:space="0" w:color="auto"/>
              <w:bottom w:val="single" w:sz="4" w:space="0" w:color="auto"/>
              <w:right w:val="single" w:sz="2" w:space="0" w:color="auto"/>
            </w:tcBorders>
            <w:tcMar>
              <w:top w:w="0" w:type="dxa"/>
              <w:left w:w="108" w:type="dxa"/>
              <w:bottom w:w="0" w:type="dxa"/>
              <w:right w:w="108" w:type="dxa"/>
            </w:tcMar>
            <w:hideMark/>
          </w:tcPr>
          <w:p w:rsidR="005F5522" w:rsidRPr="005F5522" w:rsidRDefault="005F5522" w:rsidP="005F5522">
            <w:pPr>
              <w:rPr>
                <w:rFonts w:ascii="Calibri" w:eastAsia="Calibri" w:hAnsi="Calibri"/>
                <w:sz w:val="18"/>
                <w:szCs w:val="18"/>
              </w:rPr>
            </w:pPr>
            <w:r w:rsidRPr="005F5522">
              <w:rPr>
                <w:rFonts w:ascii="Calibri" w:eastAsia="Calibri" w:hAnsi="Calibri"/>
                <w:b/>
                <w:bCs/>
                <w:sz w:val="18"/>
                <w:szCs w:val="18"/>
              </w:rPr>
              <w:t>2014/15</w:t>
            </w:r>
          </w:p>
        </w:tc>
        <w:tc>
          <w:tcPr>
            <w:tcW w:w="0" w:type="auto"/>
            <w:tcBorders>
              <w:top w:val="single" w:sz="6" w:space="0" w:color="auto"/>
              <w:left w:val="single" w:sz="2" w:space="0" w:color="auto"/>
              <w:bottom w:val="single" w:sz="4" w:space="0" w:color="auto"/>
              <w:right w:val="single" w:sz="2" w:space="0" w:color="auto"/>
            </w:tcBorders>
            <w:tcMar>
              <w:top w:w="0" w:type="dxa"/>
              <w:left w:w="108" w:type="dxa"/>
              <w:bottom w:w="0" w:type="dxa"/>
              <w:right w:w="108" w:type="dxa"/>
            </w:tcMar>
            <w:hideMark/>
          </w:tcPr>
          <w:p w:rsidR="005F5522" w:rsidRPr="005F5522" w:rsidRDefault="005F5522" w:rsidP="005F5522">
            <w:pPr>
              <w:rPr>
                <w:rFonts w:ascii="Calibri" w:eastAsia="Calibri" w:hAnsi="Calibri"/>
                <w:sz w:val="18"/>
                <w:szCs w:val="18"/>
              </w:rPr>
            </w:pPr>
            <w:r w:rsidRPr="005F5522">
              <w:rPr>
                <w:rFonts w:ascii="Calibri" w:eastAsia="Calibri" w:hAnsi="Calibri"/>
                <w:b/>
                <w:bCs/>
                <w:sz w:val="18"/>
                <w:szCs w:val="18"/>
              </w:rPr>
              <w:t>2015/16</w:t>
            </w:r>
          </w:p>
        </w:tc>
        <w:tc>
          <w:tcPr>
            <w:tcW w:w="0" w:type="auto"/>
            <w:tcBorders>
              <w:top w:val="single" w:sz="6" w:space="0" w:color="auto"/>
              <w:left w:val="single" w:sz="2" w:space="0" w:color="auto"/>
              <w:bottom w:val="single" w:sz="4" w:space="0" w:color="auto"/>
              <w:right w:val="single" w:sz="2" w:space="0" w:color="auto"/>
            </w:tcBorders>
          </w:tcPr>
          <w:p w:rsidR="005F5522" w:rsidRPr="005F5522" w:rsidRDefault="005F5522" w:rsidP="005F5522">
            <w:pPr>
              <w:rPr>
                <w:rFonts w:ascii="Calibri" w:eastAsia="Calibri" w:hAnsi="Calibri"/>
                <w:sz w:val="18"/>
                <w:szCs w:val="18"/>
              </w:rPr>
            </w:pPr>
            <w:r w:rsidRPr="005F5522">
              <w:rPr>
                <w:rFonts w:ascii="Calibri" w:eastAsia="Calibri" w:hAnsi="Calibri"/>
                <w:b/>
                <w:bCs/>
                <w:sz w:val="18"/>
                <w:szCs w:val="18"/>
              </w:rPr>
              <w:t>2016/17</w:t>
            </w:r>
          </w:p>
        </w:tc>
      </w:tr>
      <w:tr w:rsidR="005F5522" w:rsidRPr="005F5522" w:rsidTr="005518DF">
        <w:trPr>
          <w:jc w:val="center"/>
        </w:trPr>
        <w:tc>
          <w:tcPr>
            <w:tcW w:w="498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bottom"/>
            <w:hideMark/>
          </w:tcPr>
          <w:p w:rsidR="005F5522" w:rsidRPr="005F5522" w:rsidRDefault="005F5522" w:rsidP="005F5522">
            <w:pPr>
              <w:rPr>
                <w:rFonts w:ascii="Calibri" w:eastAsia="Calibri" w:hAnsi="Calibri"/>
                <w:sz w:val="18"/>
                <w:szCs w:val="18"/>
              </w:rPr>
            </w:pPr>
            <w:r w:rsidRPr="005F5522">
              <w:rPr>
                <w:rFonts w:ascii="Calibri" w:eastAsia="Calibri" w:hAnsi="Calibri"/>
                <w:b/>
                <w:bCs/>
                <w:sz w:val="18"/>
                <w:szCs w:val="18"/>
              </w:rPr>
              <w:t>Iscritti</w:t>
            </w:r>
          </w:p>
        </w:tc>
        <w:tc>
          <w:tcPr>
            <w:tcW w:w="0" w:type="auto"/>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rsidR="005F5522" w:rsidRPr="005F5522" w:rsidRDefault="005F5522" w:rsidP="005F5522">
            <w:pPr>
              <w:jc w:val="right"/>
              <w:rPr>
                <w:rFonts w:ascii="Calibri" w:eastAsia="Calibri" w:hAnsi="Calibri"/>
                <w:sz w:val="18"/>
                <w:szCs w:val="18"/>
              </w:rPr>
            </w:pPr>
            <w:r w:rsidRPr="005F5522">
              <w:rPr>
                <w:rFonts w:ascii="Calibri" w:eastAsia="Calibri" w:hAnsi="Calibri"/>
                <w:sz w:val="18"/>
                <w:szCs w:val="18"/>
              </w:rPr>
              <w:t>11.479</w:t>
            </w:r>
          </w:p>
        </w:tc>
        <w:tc>
          <w:tcPr>
            <w:tcW w:w="0" w:type="auto"/>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rsidR="005F5522" w:rsidRPr="005F5522" w:rsidRDefault="005F5522" w:rsidP="005F5522">
            <w:pPr>
              <w:jc w:val="right"/>
              <w:rPr>
                <w:rFonts w:ascii="Calibri" w:eastAsia="Calibri" w:hAnsi="Calibri"/>
                <w:sz w:val="18"/>
                <w:szCs w:val="18"/>
              </w:rPr>
            </w:pPr>
            <w:r w:rsidRPr="005F5522">
              <w:rPr>
                <w:rFonts w:ascii="Calibri" w:eastAsia="Calibri" w:hAnsi="Calibri"/>
                <w:sz w:val="18"/>
                <w:szCs w:val="18"/>
              </w:rPr>
              <w:t>10.994</w:t>
            </w:r>
          </w:p>
        </w:tc>
        <w:tc>
          <w:tcPr>
            <w:tcW w:w="0" w:type="auto"/>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rsidR="005F5522" w:rsidRPr="005F5522" w:rsidRDefault="005F5522" w:rsidP="005F5522">
            <w:pPr>
              <w:jc w:val="right"/>
              <w:rPr>
                <w:rFonts w:ascii="Calibri" w:eastAsia="Calibri" w:hAnsi="Calibri"/>
                <w:sz w:val="18"/>
                <w:szCs w:val="18"/>
              </w:rPr>
            </w:pPr>
            <w:r w:rsidRPr="005F5522">
              <w:rPr>
                <w:rFonts w:ascii="Calibri" w:eastAsia="Calibri" w:hAnsi="Calibri"/>
                <w:sz w:val="18"/>
                <w:szCs w:val="18"/>
              </w:rPr>
              <w:t>10.526</w:t>
            </w:r>
          </w:p>
        </w:tc>
        <w:tc>
          <w:tcPr>
            <w:tcW w:w="0" w:type="auto"/>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rsidR="005F5522" w:rsidRPr="005F5522" w:rsidRDefault="005F5522" w:rsidP="005F5522">
            <w:pPr>
              <w:jc w:val="right"/>
              <w:rPr>
                <w:rFonts w:ascii="Calibri" w:eastAsia="Calibri" w:hAnsi="Calibri"/>
                <w:sz w:val="18"/>
                <w:szCs w:val="18"/>
              </w:rPr>
            </w:pPr>
            <w:r w:rsidRPr="005F5522">
              <w:rPr>
                <w:rFonts w:ascii="Calibri" w:eastAsia="Calibri" w:hAnsi="Calibri"/>
                <w:sz w:val="18"/>
                <w:szCs w:val="18"/>
              </w:rPr>
              <w:t>9.974</w:t>
            </w:r>
          </w:p>
        </w:tc>
        <w:tc>
          <w:tcPr>
            <w:tcW w:w="0" w:type="auto"/>
            <w:tcBorders>
              <w:top w:val="single" w:sz="4" w:space="0" w:color="auto"/>
              <w:left w:val="single" w:sz="4" w:space="0" w:color="auto"/>
              <w:right w:val="single" w:sz="4" w:space="0" w:color="auto"/>
            </w:tcBorders>
            <w:shd w:val="clear" w:color="auto" w:fill="auto"/>
          </w:tcPr>
          <w:p w:rsidR="005F5522" w:rsidRPr="005F5522" w:rsidRDefault="005F5522" w:rsidP="005F5522">
            <w:pPr>
              <w:jc w:val="right"/>
              <w:rPr>
                <w:rFonts w:ascii="Calibri" w:eastAsia="Calibri" w:hAnsi="Calibri"/>
                <w:sz w:val="18"/>
                <w:szCs w:val="18"/>
              </w:rPr>
            </w:pPr>
            <w:r w:rsidRPr="005F5522">
              <w:rPr>
                <w:rFonts w:ascii="Calibri" w:eastAsia="Calibri" w:hAnsi="Calibri"/>
                <w:sz w:val="18"/>
                <w:szCs w:val="18"/>
              </w:rPr>
              <w:t>9.594*</w:t>
            </w:r>
          </w:p>
        </w:tc>
      </w:tr>
      <w:tr w:rsidR="005F5522" w:rsidRPr="005F5522" w:rsidTr="005518DF">
        <w:trPr>
          <w:jc w:val="center"/>
        </w:trPr>
        <w:tc>
          <w:tcPr>
            <w:tcW w:w="498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5F5522" w:rsidRPr="005F5522" w:rsidRDefault="005F5522" w:rsidP="005F5522">
            <w:pPr>
              <w:rPr>
                <w:rFonts w:ascii="Calibri" w:eastAsia="Calibri" w:hAnsi="Calibri"/>
                <w:sz w:val="18"/>
                <w:szCs w:val="18"/>
              </w:rPr>
            </w:pPr>
            <w:r w:rsidRPr="005F5522">
              <w:rPr>
                <w:rFonts w:ascii="Calibri" w:eastAsia="Calibri" w:hAnsi="Calibri"/>
                <w:b/>
                <w:bCs/>
                <w:i/>
                <w:iCs/>
                <w:sz w:val="18"/>
                <w:szCs w:val="18"/>
              </w:rPr>
              <w:t>Var. % degli iscritti rispetto all’anno precedente</w:t>
            </w:r>
          </w:p>
        </w:tc>
        <w:tc>
          <w:tcPr>
            <w:tcW w:w="0" w:type="auto"/>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F5522" w:rsidRPr="005F5522" w:rsidRDefault="005F5522" w:rsidP="005F5522">
            <w:pPr>
              <w:jc w:val="right"/>
              <w:rPr>
                <w:rFonts w:ascii="Calibri" w:eastAsia="Calibri" w:hAnsi="Calibri"/>
                <w:sz w:val="18"/>
                <w:szCs w:val="18"/>
              </w:rPr>
            </w:pPr>
            <w:r w:rsidRPr="005F5522">
              <w:rPr>
                <w:rFonts w:ascii="Calibri" w:eastAsia="Calibri" w:hAnsi="Calibri"/>
                <w:sz w:val="18"/>
                <w:szCs w:val="18"/>
              </w:rPr>
              <w:t>-4,78</w:t>
            </w:r>
          </w:p>
        </w:tc>
        <w:tc>
          <w:tcPr>
            <w:tcW w:w="0" w:type="auto"/>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F5522" w:rsidRPr="005F5522" w:rsidRDefault="005F5522" w:rsidP="005F5522">
            <w:pPr>
              <w:jc w:val="right"/>
              <w:rPr>
                <w:rFonts w:ascii="Calibri" w:eastAsia="Calibri" w:hAnsi="Calibri"/>
                <w:sz w:val="18"/>
                <w:szCs w:val="18"/>
              </w:rPr>
            </w:pPr>
            <w:r w:rsidRPr="005F5522">
              <w:rPr>
                <w:rFonts w:ascii="Calibri" w:eastAsia="Calibri" w:hAnsi="Calibri"/>
                <w:sz w:val="18"/>
                <w:szCs w:val="18"/>
              </w:rPr>
              <w:t>-4,23</w:t>
            </w:r>
          </w:p>
        </w:tc>
        <w:tc>
          <w:tcPr>
            <w:tcW w:w="0" w:type="auto"/>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F5522" w:rsidRPr="005F5522" w:rsidRDefault="005F5522" w:rsidP="005F5522">
            <w:pPr>
              <w:jc w:val="right"/>
              <w:rPr>
                <w:rFonts w:ascii="Calibri" w:eastAsia="Calibri" w:hAnsi="Calibri"/>
                <w:sz w:val="18"/>
                <w:szCs w:val="18"/>
              </w:rPr>
            </w:pPr>
            <w:r w:rsidRPr="005F5522">
              <w:rPr>
                <w:rFonts w:ascii="Calibri" w:eastAsia="Calibri" w:hAnsi="Calibri"/>
                <w:sz w:val="18"/>
                <w:szCs w:val="18"/>
              </w:rPr>
              <w:t>-4,26</w:t>
            </w:r>
          </w:p>
        </w:tc>
        <w:tc>
          <w:tcPr>
            <w:tcW w:w="0" w:type="auto"/>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F5522" w:rsidRPr="005F5522" w:rsidRDefault="005F5522" w:rsidP="005F5522">
            <w:pPr>
              <w:jc w:val="right"/>
              <w:rPr>
                <w:rFonts w:ascii="Calibri" w:eastAsia="Calibri" w:hAnsi="Calibri"/>
                <w:sz w:val="18"/>
                <w:szCs w:val="18"/>
              </w:rPr>
            </w:pPr>
            <w:r w:rsidRPr="005F5522">
              <w:rPr>
                <w:rFonts w:ascii="Calibri" w:eastAsia="Calibri" w:hAnsi="Calibri"/>
                <w:sz w:val="18"/>
                <w:szCs w:val="18"/>
              </w:rPr>
              <w:t>-5,24</w:t>
            </w:r>
          </w:p>
        </w:tc>
        <w:tc>
          <w:tcPr>
            <w:tcW w:w="0" w:type="auto"/>
            <w:tcBorders>
              <w:left w:val="single" w:sz="4" w:space="0" w:color="auto"/>
              <w:bottom w:val="single" w:sz="4" w:space="0" w:color="auto"/>
              <w:right w:val="single" w:sz="4" w:space="0" w:color="auto"/>
            </w:tcBorders>
            <w:shd w:val="clear" w:color="auto" w:fill="auto"/>
          </w:tcPr>
          <w:p w:rsidR="005F5522" w:rsidRPr="005F5522" w:rsidRDefault="005F5522" w:rsidP="005F5522">
            <w:pPr>
              <w:jc w:val="right"/>
              <w:rPr>
                <w:rFonts w:ascii="Calibri" w:eastAsia="Calibri" w:hAnsi="Calibri"/>
                <w:sz w:val="18"/>
                <w:szCs w:val="18"/>
              </w:rPr>
            </w:pPr>
            <w:r w:rsidRPr="005F5522">
              <w:rPr>
                <w:rFonts w:ascii="Calibri" w:eastAsia="Calibri" w:hAnsi="Calibri"/>
                <w:sz w:val="18"/>
                <w:szCs w:val="18"/>
              </w:rPr>
              <w:t>-3,81</w:t>
            </w:r>
          </w:p>
        </w:tc>
      </w:tr>
      <w:tr w:rsidR="005F5522" w:rsidRPr="005F5522" w:rsidTr="005518DF">
        <w:trPr>
          <w:jc w:val="center"/>
        </w:trPr>
        <w:tc>
          <w:tcPr>
            <w:tcW w:w="4987" w:type="dxa"/>
            <w:tcBorders>
              <w:top w:val="single" w:sz="4" w:space="0" w:color="auto"/>
              <w:left w:val="single" w:sz="2" w:space="0" w:color="auto"/>
              <w:bottom w:val="single" w:sz="6" w:space="0" w:color="auto"/>
              <w:right w:val="single" w:sz="2" w:space="0" w:color="auto"/>
            </w:tcBorders>
            <w:tcMar>
              <w:top w:w="0" w:type="dxa"/>
              <w:left w:w="108" w:type="dxa"/>
              <w:bottom w:w="0" w:type="dxa"/>
              <w:right w:w="108" w:type="dxa"/>
            </w:tcMar>
            <w:vAlign w:val="bottom"/>
            <w:hideMark/>
          </w:tcPr>
          <w:p w:rsidR="005F5522" w:rsidRPr="005F5522" w:rsidRDefault="005F5522" w:rsidP="005F5522">
            <w:pPr>
              <w:rPr>
                <w:rFonts w:ascii="Calibri" w:eastAsia="Calibri" w:hAnsi="Calibri"/>
                <w:sz w:val="18"/>
                <w:szCs w:val="18"/>
              </w:rPr>
            </w:pPr>
            <w:r w:rsidRPr="005F5522">
              <w:rPr>
                <w:rFonts w:ascii="Calibri" w:eastAsia="Calibri" w:hAnsi="Calibri"/>
                <w:b/>
                <w:bCs/>
                <w:i/>
                <w:iCs/>
                <w:sz w:val="18"/>
                <w:szCs w:val="18"/>
              </w:rPr>
              <w:t>Var. % degli iscritti a tutte le università italiane rispetto all’anno precedente</w:t>
            </w:r>
          </w:p>
        </w:tc>
        <w:tc>
          <w:tcPr>
            <w:tcW w:w="0" w:type="auto"/>
            <w:tcBorders>
              <w:top w:val="single" w:sz="4" w:space="0" w:color="auto"/>
              <w:left w:val="single" w:sz="2" w:space="0" w:color="auto"/>
              <w:bottom w:val="single" w:sz="6" w:space="0" w:color="auto"/>
              <w:right w:val="single" w:sz="2" w:space="0" w:color="auto"/>
            </w:tcBorders>
            <w:tcMar>
              <w:top w:w="0" w:type="dxa"/>
              <w:left w:w="108" w:type="dxa"/>
              <w:bottom w:w="0" w:type="dxa"/>
              <w:right w:w="108" w:type="dxa"/>
            </w:tcMar>
            <w:hideMark/>
          </w:tcPr>
          <w:p w:rsidR="005F5522" w:rsidRPr="005F5522" w:rsidRDefault="005F5522" w:rsidP="005F5522">
            <w:pPr>
              <w:jc w:val="right"/>
              <w:rPr>
                <w:rFonts w:ascii="Calibri" w:eastAsia="Calibri" w:hAnsi="Calibri"/>
                <w:sz w:val="18"/>
                <w:szCs w:val="18"/>
              </w:rPr>
            </w:pPr>
            <w:r w:rsidRPr="005F5522">
              <w:rPr>
                <w:rFonts w:ascii="Calibri" w:eastAsia="Calibri" w:hAnsi="Calibri"/>
                <w:sz w:val="18"/>
                <w:szCs w:val="18"/>
              </w:rPr>
              <w:t>-2,48</w:t>
            </w:r>
          </w:p>
        </w:tc>
        <w:tc>
          <w:tcPr>
            <w:tcW w:w="0" w:type="auto"/>
            <w:tcBorders>
              <w:top w:val="single" w:sz="4" w:space="0" w:color="auto"/>
              <w:left w:val="single" w:sz="2" w:space="0" w:color="auto"/>
              <w:bottom w:val="single" w:sz="6" w:space="0" w:color="auto"/>
              <w:right w:val="single" w:sz="2" w:space="0" w:color="auto"/>
            </w:tcBorders>
            <w:tcMar>
              <w:top w:w="0" w:type="dxa"/>
              <w:left w:w="108" w:type="dxa"/>
              <w:bottom w:w="0" w:type="dxa"/>
              <w:right w:w="108" w:type="dxa"/>
            </w:tcMar>
            <w:hideMark/>
          </w:tcPr>
          <w:p w:rsidR="005F5522" w:rsidRPr="005F5522" w:rsidRDefault="005F5522" w:rsidP="005F5522">
            <w:pPr>
              <w:jc w:val="right"/>
              <w:rPr>
                <w:rFonts w:ascii="Calibri" w:eastAsia="Calibri" w:hAnsi="Calibri"/>
                <w:sz w:val="18"/>
                <w:szCs w:val="18"/>
              </w:rPr>
            </w:pPr>
            <w:r w:rsidRPr="005F5522">
              <w:rPr>
                <w:rFonts w:ascii="Calibri" w:eastAsia="Calibri" w:hAnsi="Calibri"/>
                <w:sz w:val="18"/>
                <w:szCs w:val="18"/>
              </w:rPr>
              <w:t>-1,76</w:t>
            </w:r>
          </w:p>
        </w:tc>
        <w:tc>
          <w:tcPr>
            <w:tcW w:w="0" w:type="auto"/>
            <w:tcBorders>
              <w:top w:val="single" w:sz="4" w:space="0" w:color="auto"/>
              <w:left w:val="single" w:sz="2" w:space="0" w:color="auto"/>
              <w:bottom w:val="single" w:sz="6" w:space="0" w:color="auto"/>
              <w:right w:val="single" w:sz="2" w:space="0" w:color="auto"/>
            </w:tcBorders>
            <w:tcMar>
              <w:top w:w="0" w:type="dxa"/>
              <w:left w:w="108" w:type="dxa"/>
              <w:bottom w:w="0" w:type="dxa"/>
              <w:right w:w="108" w:type="dxa"/>
            </w:tcMar>
            <w:hideMark/>
          </w:tcPr>
          <w:p w:rsidR="005F5522" w:rsidRPr="005F5522" w:rsidRDefault="005F5522" w:rsidP="005F5522">
            <w:pPr>
              <w:jc w:val="right"/>
              <w:rPr>
                <w:rFonts w:ascii="Calibri" w:eastAsia="Calibri" w:hAnsi="Calibri"/>
                <w:sz w:val="18"/>
                <w:szCs w:val="18"/>
              </w:rPr>
            </w:pPr>
            <w:r w:rsidRPr="005F5522">
              <w:rPr>
                <w:rFonts w:ascii="Calibri" w:eastAsia="Calibri" w:hAnsi="Calibri"/>
                <w:sz w:val="18"/>
                <w:szCs w:val="18"/>
              </w:rPr>
              <w:t>-2,09</w:t>
            </w:r>
          </w:p>
        </w:tc>
        <w:tc>
          <w:tcPr>
            <w:tcW w:w="0" w:type="auto"/>
            <w:tcBorders>
              <w:top w:val="single" w:sz="4" w:space="0" w:color="auto"/>
              <w:left w:val="single" w:sz="2" w:space="0" w:color="auto"/>
              <w:bottom w:val="single" w:sz="6" w:space="0" w:color="auto"/>
              <w:right w:val="single" w:sz="2" w:space="0" w:color="auto"/>
            </w:tcBorders>
            <w:tcMar>
              <w:top w:w="0" w:type="dxa"/>
              <w:left w:w="108" w:type="dxa"/>
              <w:bottom w:w="0" w:type="dxa"/>
              <w:right w:w="108" w:type="dxa"/>
            </w:tcMar>
            <w:hideMark/>
          </w:tcPr>
          <w:p w:rsidR="005F5522" w:rsidRPr="005F5522" w:rsidRDefault="005F5522" w:rsidP="005F5522">
            <w:pPr>
              <w:jc w:val="right"/>
              <w:rPr>
                <w:rFonts w:ascii="Calibri" w:eastAsia="Calibri" w:hAnsi="Calibri"/>
                <w:sz w:val="18"/>
                <w:szCs w:val="18"/>
              </w:rPr>
            </w:pPr>
            <w:r w:rsidRPr="005F5522">
              <w:rPr>
                <w:rFonts w:ascii="Calibri" w:eastAsia="Calibri" w:hAnsi="Calibri"/>
                <w:bCs/>
                <w:sz w:val="18"/>
                <w:szCs w:val="18"/>
              </w:rPr>
              <w:t>- 1,17</w:t>
            </w:r>
          </w:p>
        </w:tc>
        <w:tc>
          <w:tcPr>
            <w:tcW w:w="0" w:type="auto"/>
            <w:tcBorders>
              <w:top w:val="single" w:sz="4" w:space="0" w:color="auto"/>
              <w:left w:val="single" w:sz="2" w:space="0" w:color="auto"/>
              <w:bottom w:val="single" w:sz="6" w:space="0" w:color="auto"/>
              <w:right w:val="single" w:sz="2" w:space="0" w:color="auto"/>
            </w:tcBorders>
          </w:tcPr>
          <w:p w:rsidR="005F5522" w:rsidRPr="005F5522" w:rsidRDefault="005F5522" w:rsidP="005F5522">
            <w:pPr>
              <w:jc w:val="right"/>
              <w:rPr>
                <w:rFonts w:ascii="Calibri" w:eastAsia="Calibri" w:hAnsi="Calibri"/>
                <w:sz w:val="18"/>
                <w:szCs w:val="18"/>
              </w:rPr>
            </w:pPr>
            <w:r w:rsidRPr="005F5522">
              <w:rPr>
                <w:rFonts w:ascii="Calibri" w:eastAsia="Calibri" w:hAnsi="Calibri"/>
                <w:bCs/>
                <w:sz w:val="18"/>
                <w:szCs w:val="18"/>
              </w:rPr>
              <w:t>-ND</w:t>
            </w:r>
          </w:p>
        </w:tc>
      </w:tr>
    </w:tbl>
    <w:p w:rsidR="005F5522" w:rsidRPr="005F5522" w:rsidRDefault="005F5522" w:rsidP="005F5522">
      <w:pPr>
        <w:ind w:left="708" w:firstLine="1"/>
        <w:rPr>
          <w:rFonts w:ascii="Calibri" w:eastAsia="Calibri" w:hAnsi="Calibri"/>
          <w:sz w:val="14"/>
          <w:szCs w:val="14"/>
        </w:rPr>
      </w:pPr>
      <w:r w:rsidRPr="005F5522">
        <w:rPr>
          <w:rFonts w:ascii="Calibri" w:eastAsia="Calibri" w:hAnsi="Calibri"/>
          <w:sz w:val="14"/>
          <w:szCs w:val="14"/>
        </w:rPr>
        <w:t>Fonte: Cruscotto della didattica del Politecnico di Bari.</w:t>
      </w:r>
    </w:p>
    <w:p w:rsidR="005F5522" w:rsidRPr="005F5522" w:rsidRDefault="005F5522" w:rsidP="005F5522">
      <w:pPr>
        <w:ind w:left="708" w:firstLine="1"/>
        <w:rPr>
          <w:rFonts w:ascii="Calibri" w:eastAsia="Calibri" w:hAnsi="Calibri"/>
          <w:sz w:val="14"/>
          <w:szCs w:val="14"/>
        </w:rPr>
      </w:pPr>
      <w:r w:rsidRPr="005F5522">
        <w:rPr>
          <w:rFonts w:ascii="Calibri" w:eastAsia="Calibri" w:hAnsi="Calibri"/>
          <w:sz w:val="14"/>
          <w:szCs w:val="14"/>
        </w:rPr>
        <w:t>*dato provvisorio al 13 dicembre 2016</w:t>
      </w:r>
    </w:p>
    <w:p w:rsidR="005F5522" w:rsidRPr="005F5522" w:rsidRDefault="005F5522" w:rsidP="005F5522">
      <w:pPr>
        <w:rPr>
          <w:rFonts w:ascii="Calibri" w:eastAsia="Calibri" w:hAnsi="Calibri"/>
          <w:sz w:val="17"/>
          <w:szCs w:val="17"/>
        </w:rPr>
      </w:pPr>
      <w:r w:rsidRPr="005F5522">
        <w:rPr>
          <w:rFonts w:ascii="Calibri" w:eastAsia="Calibri" w:hAnsi="Calibri"/>
          <w:sz w:val="17"/>
          <w:szCs w:val="17"/>
        </w:rPr>
        <w:t> </w:t>
      </w:r>
    </w:p>
    <w:p w:rsidR="005F5522" w:rsidRPr="005F5522" w:rsidRDefault="005F5522" w:rsidP="00F541AA">
      <w:pPr>
        <w:ind w:firstLine="720"/>
        <w:jc w:val="both"/>
        <w:rPr>
          <w:sz w:val="24"/>
          <w:szCs w:val="24"/>
        </w:rPr>
      </w:pPr>
      <w:r w:rsidRPr="005F5522">
        <w:rPr>
          <w:sz w:val="24"/>
          <w:szCs w:val="24"/>
        </w:rPr>
        <w:t xml:space="preserve">Il secondo aspetto riguarda la dichiarazione reddituale effettuata dagli studenti e certificata dalle attestazioni ISEE rilasciate dai CAF. A partire dall’a.a. 2016-17, la determinazione del valore ISEE, funzionale per il computo delle tasse universitarie, viene effettuata direttamente dall’INPS, mediante controlli incrociati direttamente presso le banche dati dell’Agenzia delle Entrate e degli Istituti bancari. In tal modo, i dati inseriti saranno corretti, veritieri e terranno conto non soltanto dei redditi di lavoro dipendente e/o di pensione e del patrimonio immobiliare, ma anche di quello mobiliare posseduto dall’intero nucleo familiare; valore quest’ultimo, fino allo scorso anno, del tutto trascurato e/o tralasciato. </w:t>
      </w:r>
    </w:p>
    <w:p w:rsidR="006134CF" w:rsidRDefault="005F5522" w:rsidP="00F541AA">
      <w:pPr>
        <w:ind w:firstLine="720"/>
        <w:jc w:val="both"/>
        <w:rPr>
          <w:sz w:val="24"/>
          <w:szCs w:val="24"/>
        </w:rPr>
      </w:pPr>
      <w:r w:rsidRPr="005F5522">
        <w:rPr>
          <w:sz w:val="24"/>
          <w:szCs w:val="24"/>
        </w:rPr>
        <w:t xml:space="preserve">Come ultimo elemento funzionale alla previsione viene preso in considerazione l’andamento nell’ultimo quinquennio della contribuzione effettuata dalla popolazione studentesca dell’Ateneo, per saggiarne il </w:t>
      </w:r>
      <w:r w:rsidRPr="005F5522">
        <w:rPr>
          <w:i/>
          <w:sz w:val="24"/>
          <w:szCs w:val="24"/>
        </w:rPr>
        <w:t>trend</w:t>
      </w:r>
      <w:r w:rsidRPr="005F5522">
        <w:rPr>
          <w:sz w:val="24"/>
          <w:szCs w:val="24"/>
        </w:rPr>
        <w:t xml:space="preserve">. </w:t>
      </w:r>
    </w:p>
    <w:p w:rsidR="00DA4FE2" w:rsidRDefault="005F5522" w:rsidP="00F541AA">
      <w:pPr>
        <w:ind w:firstLine="720"/>
        <w:jc w:val="both"/>
        <w:rPr>
          <w:sz w:val="24"/>
          <w:szCs w:val="24"/>
        </w:rPr>
      </w:pPr>
      <w:r w:rsidRPr="005F5522">
        <w:rPr>
          <w:sz w:val="24"/>
          <w:szCs w:val="24"/>
        </w:rPr>
        <w:t>Oss</w:t>
      </w:r>
      <w:r w:rsidR="006134CF">
        <w:rPr>
          <w:sz w:val="24"/>
          <w:szCs w:val="24"/>
        </w:rPr>
        <w:t xml:space="preserve">ervando i dati riportati in </w:t>
      </w:r>
      <w:r w:rsidR="006134CF" w:rsidRPr="006134CF">
        <w:rPr>
          <w:i/>
          <w:sz w:val="24"/>
          <w:szCs w:val="24"/>
        </w:rPr>
        <w:t>Tabella 3</w:t>
      </w:r>
      <w:r w:rsidRPr="005F5522">
        <w:rPr>
          <w:sz w:val="24"/>
          <w:szCs w:val="24"/>
        </w:rPr>
        <w:t>, dal 2012 si registra un incremento costante del gettito complessivo, dovuto anche ad una politica di attenzione al recupero delle tasse pregresse. Tale andamento consente di ipotizzare, pertanto, una possibile crescita anche nell’anno 2017. In particolare, le cifre riguardanti la previsione per l'anno 2017 sono state calcolate tenendo conto del nuovo regolamento tasse, la cui applicazione dovrebbe portare ad un incremento di introiti relativi alla seconda e terza rata contributiva (anche per l’effetto della cooperazione applicativa con l’INPS).</w:t>
      </w:r>
    </w:p>
    <w:p w:rsidR="00DA4FE2" w:rsidRDefault="005F5522" w:rsidP="00F541AA">
      <w:pPr>
        <w:ind w:firstLine="720"/>
        <w:jc w:val="both"/>
        <w:rPr>
          <w:sz w:val="24"/>
          <w:szCs w:val="24"/>
        </w:rPr>
      </w:pPr>
      <w:r w:rsidRPr="005F5522">
        <w:rPr>
          <w:sz w:val="24"/>
          <w:szCs w:val="24"/>
        </w:rPr>
        <w:t xml:space="preserve"> L’incremento è tuttavia contenuto (+ 1,02%)</w:t>
      </w:r>
      <w:r w:rsidR="00DA4FE2">
        <w:rPr>
          <w:sz w:val="24"/>
          <w:szCs w:val="24"/>
        </w:rPr>
        <w:t>,</w:t>
      </w:r>
      <w:r w:rsidRPr="005F5522">
        <w:rPr>
          <w:sz w:val="24"/>
          <w:szCs w:val="24"/>
        </w:rPr>
        <w:t xml:space="preserve"> considerando l’effetto dell’introduzione della nuova </w:t>
      </w:r>
      <w:r w:rsidRPr="005F5522">
        <w:rPr>
          <w:i/>
          <w:sz w:val="24"/>
          <w:szCs w:val="24"/>
        </w:rPr>
        <w:t>no-tax area</w:t>
      </w:r>
      <w:r w:rsidRPr="005F5522">
        <w:rPr>
          <w:sz w:val="24"/>
          <w:szCs w:val="24"/>
        </w:rPr>
        <w:t xml:space="preserve"> (</w:t>
      </w:r>
      <w:r w:rsidR="00DA4FE2">
        <w:rPr>
          <w:sz w:val="24"/>
          <w:szCs w:val="24"/>
        </w:rPr>
        <w:t xml:space="preserve">€ </w:t>
      </w:r>
      <w:r w:rsidRPr="005F5522">
        <w:rPr>
          <w:sz w:val="24"/>
          <w:szCs w:val="24"/>
        </w:rPr>
        <w:t>13.000) prevista dalla legge di stabilità 2017</w:t>
      </w:r>
      <w:r w:rsidR="00DA4FE2">
        <w:rPr>
          <w:sz w:val="24"/>
          <w:szCs w:val="24"/>
        </w:rPr>
        <w:t>,</w:t>
      </w:r>
      <w:r w:rsidRPr="005F5522">
        <w:rPr>
          <w:sz w:val="24"/>
          <w:szCs w:val="24"/>
        </w:rPr>
        <w:t xml:space="preserve"> che inciderà sugli incassi relativi alla prima rata contributiva 2017-2018 e il tendenziale decremento del numero degli iscritti. </w:t>
      </w:r>
    </w:p>
    <w:p w:rsidR="00DA4FE2" w:rsidRDefault="005F5522" w:rsidP="006134CF">
      <w:pPr>
        <w:ind w:firstLine="720"/>
        <w:jc w:val="both"/>
        <w:rPr>
          <w:i/>
        </w:rPr>
      </w:pPr>
      <w:r w:rsidRPr="005F5522">
        <w:rPr>
          <w:sz w:val="24"/>
          <w:szCs w:val="24"/>
        </w:rPr>
        <w:t>Per gli anni 2018 e 2019 si è stimata prudenzialmente una leggera diminuzione degli incassi.</w:t>
      </w:r>
    </w:p>
    <w:p w:rsidR="00DA4FE2" w:rsidRDefault="00DA4FE2" w:rsidP="006134CF">
      <w:pPr>
        <w:ind w:firstLine="720"/>
        <w:jc w:val="both"/>
        <w:rPr>
          <w:i/>
        </w:rPr>
      </w:pPr>
    </w:p>
    <w:p w:rsidR="00DA4FE2" w:rsidRDefault="00DA4FE2" w:rsidP="006134CF">
      <w:pPr>
        <w:ind w:firstLine="720"/>
        <w:jc w:val="both"/>
        <w:rPr>
          <w:i/>
        </w:rPr>
      </w:pPr>
    </w:p>
    <w:p w:rsidR="00DA4FE2" w:rsidRDefault="00DA4FE2" w:rsidP="006134CF">
      <w:pPr>
        <w:ind w:firstLine="720"/>
        <w:jc w:val="both"/>
        <w:rPr>
          <w:i/>
        </w:rPr>
      </w:pPr>
    </w:p>
    <w:p w:rsidR="00B036D6" w:rsidRDefault="00B036D6" w:rsidP="006134CF">
      <w:pPr>
        <w:ind w:firstLine="720"/>
        <w:jc w:val="both"/>
        <w:rPr>
          <w:i/>
        </w:rPr>
      </w:pPr>
    </w:p>
    <w:p w:rsidR="00B036D6" w:rsidRDefault="00B036D6" w:rsidP="006134CF">
      <w:pPr>
        <w:ind w:firstLine="720"/>
        <w:jc w:val="both"/>
        <w:rPr>
          <w:i/>
        </w:rPr>
      </w:pPr>
    </w:p>
    <w:p w:rsidR="00B036D6" w:rsidRDefault="00B036D6" w:rsidP="006134CF">
      <w:pPr>
        <w:ind w:firstLine="720"/>
        <w:jc w:val="both"/>
        <w:rPr>
          <w:i/>
        </w:rPr>
      </w:pPr>
    </w:p>
    <w:p w:rsidR="00B036D6" w:rsidRDefault="00B036D6" w:rsidP="006134CF">
      <w:pPr>
        <w:ind w:firstLine="720"/>
        <w:jc w:val="both"/>
        <w:rPr>
          <w:i/>
        </w:rPr>
      </w:pPr>
    </w:p>
    <w:p w:rsidR="005F5522" w:rsidRPr="005F5522" w:rsidRDefault="006134CF" w:rsidP="006134CF">
      <w:pPr>
        <w:ind w:firstLine="720"/>
        <w:jc w:val="both"/>
        <w:rPr>
          <w:i/>
        </w:rPr>
      </w:pPr>
      <w:r>
        <w:rPr>
          <w:i/>
        </w:rPr>
        <w:t>Tabella 3</w:t>
      </w:r>
      <w:r w:rsidR="0059383D">
        <w:rPr>
          <w:i/>
        </w:rPr>
        <w:t xml:space="preserve">: </w:t>
      </w:r>
      <w:r w:rsidR="005F5522" w:rsidRPr="005F5522">
        <w:rPr>
          <w:i/>
        </w:rPr>
        <w:t>Andamento della contribuzione studentesca degli studenti del Politecnico di Bari dal 2012 al 2016 e stima 2017-2019 (al netto delle partite di giro: tassa ADISU e bolli)</w:t>
      </w:r>
    </w:p>
    <w:p w:rsidR="005F5522" w:rsidRPr="005F5522" w:rsidRDefault="005F5522" w:rsidP="005F5522">
      <w:pPr>
        <w:rPr>
          <w:rFonts w:ascii="Calibri" w:eastAsia="Calibri" w:hAnsi="Calibri"/>
          <w:b/>
          <w:bCs/>
          <w:sz w:val="14"/>
          <w:szCs w:val="14"/>
        </w:rPr>
      </w:pPr>
      <w:r w:rsidRPr="005F5522">
        <w:rPr>
          <w:rFonts w:ascii="Calibri" w:eastAsia="Calibri" w:hAnsi="Calibri"/>
          <w:sz w:val="18"/>
          <w:szCs w:val="18"/>
        </w:rPr>
        <w:t> </w:t>
      </w:r>
    </w:p>
    <w:tbl>
      <w:tblPr>
        <w:tblW w:w="0" w:type="auto"/>
        <w:tblCellMar>
          <w:left w:w="0" w:type="dxa"/>
          <w:right w:w="0" w:type="dxa"/>
        </w:tblCellMar>
        <w:tblLook w:val="04A0" w:firstRow="1" w:lastRow="0" w:firstColumn="1" w:lastColumn="0" w:noHBand="0" w:noVBand="1"/>
      </w:tblPr>
      <w:tblGrid>
        <w:gridCol w:w="3230"/>
        <w:gridCol w:w="782"/>
        <w:gridCol w:w="782"/>
        <w:gridCol w:w="782"/>
        <w:gridCol w:w="782"/>
        <w:gridCol w:w="925"/>
        <w:gridCol w:w="845"/>
        <w:gridCol w:w="853"/>
        <w:gridCol w:w="148"/>
        <w:gridCol w:w="586"/>
      </w:tblGrid>
      <w:tr w:rsidR="005F5522" w:rsidRPr="005F5522" w:rsidTr="005518DF">
        <w:tc>
          <w:tcPr>
            <w:tcW w:w="0" w:type="auto"/>
            <w:vMerge w:val="restart"/>
            <w:tcBorders>
              <w:top w:val="single" w:sz="6" w:space="0" w:color="auto"/>
              <w:left w:val="single" w:sz="2" w:space="0" w:color="auto"/>
              <w:bottom w:val="single" w:sz="6" w:space="0" w:color="auto"/>
              <w:right w:val="single" w:sz="2" w:space="0" w:color="auto"/>
            </w:tcBorders>
            <w:tcMar>
              <w:top w:w="0" w:type="dxa"/>
              <w:left w:w="71" w:type="dxa"/>
              <w:bottom w:w="0" w:type="dxa"/>
              <w:right w:w="71" w:type="dxa"/>
            </w:tcMar>
            <w:vAlign w:val="center"/>
            <w:hideMark/>
          </w:tcPr>
          <w:p w:rsidR="005F5522" w:rsidRPr="005F5522" w:rsidRDefault="005F5522" w:rsidP="005F5522">
            <w:pPr>
              <w:rPr>
                <w:rFonts w:eastAsia="Calibri"/>
                <w:b/>
                <w:bCs/>
                <w:sz w:val="16"/>
                <w:szCs w:val="16"/>
              </w:rPr>
            </w:pPr>
            <w:r w:rsidRPr="005F5522">
              <w:rPr>
                <w:rFonts w:eastAsia="Calibri"/>
                <w:b/>
                <w:bCs/>
                <w:sz w:val="16"/>
                <w:szCs w:val="16"/>
              </w:rPr>
              <w:t>Anni</w:t>
            </w:r>
          </w:p>
        </w:tc>
        <w:tc>
          <w:tcPr>
            <w:tcW w:w="0" w:type="auto"/>
            <w:vMerge w:val="restart"/>
            <w:tcBorders>
              <w:top w:val="single" w:sz="6" w:space="0" w:color="auto"/>
              <w:left w:val="single" w:sz="2" w:space="0" w:color="auto"/>
              <w:bottom w:val="single" w:sz="6" w:space="0" w:color="auto"/>
              <w:right w:val="single" w:sz="2" w:space="0" w:color="auto"/>
            </w:tcBorders>
            <w:tcMar>
              <w:top w:w="0" w:type="dxa"/>
              <w:left w:w="71" w:type="dxa"/>
              <w:bottom w:w="0" w:type="dxa"/>
              <w:right w:w="71" w:type="dxa"/>
            </w:tcMar>
            <w:vAlign w:val="center"/>
            <w:hideMark/>
          </w:tcPr>
          <w:p w:rsidR="005F5522" w:rsidRPr="005F5522" w:rsidRDefault="005F5522" w:rsidP="005F5522">
            <w:pPr>
              <w:jc w:val="center"/>
              <w:rPr>
                <w:rFonts w:eastAsia="Calibri"/>
                <w:b/>
                <w:bCs/>
                <w:sz w:val="16"/>
                <w:szCs w:val="16"/>
              </w:rPr>
            </w:pPr>
            <w:r w:rsidRPr="005F5522">
              <w:rPr>
                <w:rFonts w:eastAsia="Calibri"/>
                <w:b/>
                <w:bCs/>
                <w:sz w:val="16"/>
                <w:szCs w:val="16"/>
              </w:rPr>
              <w:t>2012</w:t>
            </w:r>
          </w:p>
        </w:tc>
        <w:tc>
          <w:tcPr>
            <w:tcW w:w="0" w:type="auto"/>
            <w:vMerge w:val="restart"/>
            <w:tcBorders>
              <w:top w:val="single" w:sz="6" w:space="0" w:color="auto"/>
              <w:left w:val="single" w:sz="2" w:space="0" w:color="auto"/>
              <w:bottom w:val="single" w:sz="6" w:space="0" w:color="auto"/>
              <w:right w:val="single" w:sz="2" w:space="0" w:color="auto"/>
            </w:tcBorders>
            <w:tcMar>
              <w:top w:w="0" w:type="dxa"/>
              <w:left w:w="71" w:type="dxa"/>
              <w:bottom w:w="0" w:type="dxa"/>
              <w:right w:w="71" w:type="dxa"/>
            </w:tcMar>
            <w:vAlign w:val="center"/>
            <w:hideMark/>
          </w:tcPr>
          <w:p w:rsidR="005F5522" w:rsidRPr="005F5522" w:rsidRDefault="005F5522" w:rsidP="005F5522">
            <w:pPr>
              <w:jc w:val="center"/>
              <w:rPr>
                <w:rFonts w:eastAsia="Calibri"/>
                <w:b/>
                <w:bCs/>
                <w:sz w:val="16"/>
                <w:szCs w:val="16"/>
              </w:rPr>
            </w:pPr>
            <w:r w:rsidRPr="005F5522">
              <w:rPr>
                <w:rFonts w:eastAsia="Calibri"/>
                <w:b/>
                <w:bCs/>
                <w:sz w:val="16"/>
                <w:szCs w:val="16"/>
              </w:rPr>
              <w:t>2013</w:t>
            </w:r>
          </w:p>
        </w:tc>
        <w:tc>
          <w:tcPr>
            <w:tcW w:w="0" w:type="auto"/>
            <w:vMerge w:val="restart"/>
            <w:tcBorders>
              <w:top w:val="single" w:sz="6" w:space="0" w:color="auto"/>
              <w:left w:val="single" w:sz="2" w:space="0" w:color="auto"/>
              <w:bottom w:val="single" w:sz="6" w:space="0" w:color="auto"/>
              <w:right w:val="single" w:sz="2" w:space="0" w:color="auto"/>
            </w:tcBorders>
            <w:tcMar>
              <w:top w:w="0" w:type="dxa"/>
              <w:left w:w="71" w:type="dxa"/>
              <w:bottom w:w="0" w:type="dxa"/>
              <w:right w:w="71" w:type="dxa"/>
            </w:tcMar>
            <w:vAlign w:val="center"/>
            <w:hideMark/>
          </w:tcPr>
          <w:p w:rsidR="005F5522" w:rsidRPr="005F5522" w:rsidRDefault="005F5522" w:rsidP="005F5522">
            <w:pPr>
              <w:jc w:val="center"/>
              <w:rPr>
                <w:rFonts w:eastAsia="Calibri"/>
                <w:b/>
                <w:bCs/>
                <w:sz w:val="16"/>
                <w:szCs w:val="16"/>
              </w:rPr>
            </w:pPr>
            <w:r w:rsidRPr="005F5522">
              <w:rPr>
                <w:rFonts w:eastAsia="Calibri"/>
                <w:b/>
                <w:bCs/>
                <w:sz w:val="16"/>
                <w:szCs w:val="16"/>
              </w:rPr>
              <w:t>2014</w:t>
            </w:r>
          </w:p>
        </w:tc>
        <w:tc>
          <w:tcPr>
            <w:tcW w:w="0" w:type="auto"/>
            <w:vMerge w:val="restart"/>
            <w:tcBorders>
              <w:top w:val="single" w:sz="6" w:space="0" w:color="auto"/>
              <w:left w:val="single" w:sz="2" w:space="0" w:color="auto"/>
              <w:right w:val="single" w:sz="2" w:space="0" w:color="auto"/>
            </w:tcBorders>
            <w:tcMar>
              <w:top w:w="0" w:type="dxa"/>
              <w:left w:w="71" w:type="dxa"/>
              <w:bottom w:w="0" w:type="dxa"/>
              <w:right w:w="71" w:type="dxa"/>
            </w:tcMar>
            <w:vAlign w:val="center"/>
            <w:hideMark/>
          </w:tcPr>
          <w:p w:rsidR="005F5522" w:rsidRPr="005F5522" w:rsidRDefault="005F5522" w:rsidP="005F5522">
            <w:pPr>
              <w:jc w:val="center"/>
              <w:rPr>
                <w:rFonts w:eastAsia="Calibri"/>
                <w:b/>
                <w:bCs/>
                <w:sz w:val="16"/>
                <w:szCs w:val="16"/>
              </w:rPr>
            </w:pPr>
            <w:r w:rsidRPr="005F5522">
              <w:rPr>
                <w:rFonts w:eastAsia="Calibri"/>
                <w:b/>
                <w:bCs/>
                <w:sz w:val="16"/>
                <w:szCs w:val="16"/>
              </w:rPr>
              <w:t>2015</w:t>
            </w:r>
          </w:p>
        </w:tc>
        <w:tc>
          <w:tcPr>
            <w:tcW w:w="800" w:type="dxa"/>
            <w:tcBorders>
              <w:top w:val="single" w:sz="6" w:space="0" w:color="auto"/>
              <w:left w:val="single" w:sz="2" w:space="0" w:color="auto"/>
              <w:bottom w:val="single" w:sz="2" w:space="0" w:color="auto"/>
              <w:right w:val="single" w:sz="2" w:space="0" w:color="auto"/>
            </w:tcBorders>
            <w:tcMar>
              <w:top w:w="0" w:type="dxa"/>
              <w:left w:w="71" w:type="dxa"/>
              <w:bottom w:w="0" w:type="dxa"/>
              <w:right w:w="71" w:type="dxa"/>
            </w:tcMar>
            <w:vAlign w:val="center"/>
            <w:hideMark/>
          </w:tcPr>
          <w:p w:rsidR="005F5522" w:rsidRPr="005F5522" w:rsidRDefault="005F5522" w:rsidP="005F5522">
            <w:pPr>
              <w:jc w:val="center"/>
              <w:rPr>
                <w:rFonts w:eastAsia="Calibri"/>
                <w:b/>
                <w:bCs/>
                <w:sz w:val="16"/>
                <w:szCs w:val="16"/>
              </w:rPr>
            </w:pPr>
            <w:r w:rsidRPr="005F5522">
              <w:rPr>
                <w:rFonts w:eastAsia="Calibri"/>
                <w:b/>
                <w:bCs/>
                <w:sz w:val="16"/>
                <w:szCs w:val="16"/>
              </w:rPr>
              <w:t>2016</w:t>
            </w:r>
          </w:p>
        </w:tc>
        <w:tc>
          <w:tcPr>
            <w:tcW w:w="750" w:type="dxa"/>
            <w:tcBorders>
              <w:top w:val="single" w:sz="6" w:space="0" w:color="auto"/>
              <w:left w:val="single" w:sz="2" w:space="0" w:color="auto"/>
              <w:bottom w:val="single" w:sz="2" w:space="0" w:color="auto"/>
              <w:right w:val="single" w:sz="2" w:space="0" w:color="auto"/>
            </w:tcBorders>
            <w:tcMar>
              <w:top w:w="0" w:type="dxa"/>
              <w:left w:w="71" w:type="dxa"/>
              <w:bottom w:w="0" w:type="dxa"/>
              <w:right w:w="71" w:type="dxa"/>
            </w:tcMar>
            <w:vAlign w:val="center"/>
            <w:hideMark/>
          </w:tcPr>
          <w:p w:rsidR="005F5522" w:rsidRPr="005F5522" w:rsidRDefault="005F5522" w:rsidP="005F5522">
            <w:pPr>
              <w:jc w:val="center"/>
              <w:rPr>
                <w:rFonts w:eastAsia="Calibri"/>
                <w:b/>
                <w:bCs/>
                <w:sz w:val="16"/>
                <w:szCs w:val="16"/>
              </w:rPr>
            </w:pPr>
            <w:r w:rsidRPr="005F5522">
              <w:rPr>
                <w:rFonts w:eastAsia="Calibri"/>
                <w:b/>
                <w:bCs/>
                <w:sz w:val="16"/>
                <w:szCs w:val="16"/>
              </w:rPr>
              <w:t>2017</w:t>
            </w:r>
          </w:p>
        </w:tc>
        <w:tc>
          <w:tcPr>
            <w:tcW w:w="0" w:type="auto"/>
            <w:tcBorders>
              <w:top w:val="single" w:sz="6" w:space="0" w:color="auto"/>
              <w:left w:val="single" w:sz="2" w:space="0" w:color="auto"/>
              <w:bottom w:val="single" w:sz="2" w:space="0" w:color="auto"/>
              <w:right w:val="single" w:sz="4" w:space="0" w:color="auto"/>
            </w:tcBorders>
            <w:tcMar>
              <w:top w:w="0" w:type="dxa"/>
              <w:left w:w="71" w:type="dxa"/>
              <w:bottom w:w="0" w:type="dxa"/>
              <w:right w:w="71" w:type="dxa"/>
            </w:tcMar>
            <w:vAlign w:val="center"/>
            <w:hideMark/>
          </w:tcPr>
          <w:p w:rsidR="005F5522" w:rsidRPr="005F5522" w:rsidRDefault="005F5522" w:rsidP="005F5522">
            <w:pPr>
              <w:jc w:val="center"/>
              <w:rPr>
                <w:rFonts w:eastAsia="Calibri"/>
                <w:b/>
                <w:bCs/>
                <w:sz w:val="16"/>
                <w:szCs w:val="16"/>
              </w:rPr>
            </w:pPr>
            <w:r w:rsidRPr="005F5522">
              <w:rPr>
                <w:rFonts w:eastAsia="Calibri"/>
                <w:b/>
                <w:bCs/>
                <w:sz w:val="16"/>
                <w:szCs w:val="16"/>
              </w:rPr>
              <w:t>2018</w:t>
            </w:r>
          </w:p>
        </w:tc>
        <w:tc>
          <w:tcPr>
            <w:tcW w:w="734" w:type="dxa"/>
            <w:gridSpan w:val="2"/>
            <w:tcBorders>
              <w:top w:val="single" w:sz="4" w:space="0" w:color="auto"/>
              <w:left w:val="single" w:sz="4" w:space="0" w:color="auto"/>
              <w:bottom w:val="single" w:sz="4" w:space="0" w:color="auto"/>
              <w:right w:val="single" w:sz="4" w:space="0" w:color="auto"/>
            </w:tcBorders>
            <w:vAlign w:val="center"/>
          </w:tcPr>
          <w:p w:rsidR="005F5522" w:rsidRPr="005F5522" w:rsidRDefault="005F5522" w:rsidP="005F5522">
            <w:pPr>
              <w:jc w:val="center"/>
              <w:rPr>
                <w:rFonts w:eastAsia="Calibri"/>
                <w:b/>
                <w:bCs/>
                <w:sz w:val="16"/>
                <w:szCs w:val="16"/>
              </w:rPr>
            </w:pPr>
            <w:r w:rsidRPr="005F5522">
              <w:rPr>
                <w:rFonts w:eastAsia="Calibri"/>
                <w:b/>
                <w:bCs/>
                <w:sz w:val="16"/>
                <w:szCs w:val="16"/>
              </w:rPr>
              <w:t>2019</w:t>
            </w:r>
          </w:p>
        </w:tc>
      </w:tr>
      <w:tr w:rsidR="005F5522" w:rsidRPr="005F5522" w:rsidTr="005518DF">
        <w:tc>
          <w:tcPr>
            <w:tcW w:w="0" w:type="auto"/>
            <w:vMerge/>
            <w:tcBorders>
              <w:top w:val="single" w:sz="6" w:space="0" w:color="auto"/>
              <w:left w:val="single" w:sz="2" w:space="0" w:color="auto"/>
              <w:bottom w:val="single" w:sz="4" w:space="0" w:color="auto"/>
              <w:right w:val="single" w:sz="2" w:space="0" w:color="auto"/>
            </w:tcBorders>
            <w:vAlign w:val="center"/>
            <w:hideMark/>
          </w:tcPr>
          <w:p w:rsidR="005F5522" w:rsidRPr="005F5522" w:rsidRDefault="005F5522" w:rsidP="005F5522">
            <w:pPr>
              <w:rPr>
                <w:rFonts w:eastAsia="Calibri"/>
                <w:b/>
                <w:bCs/>
                <w:sz w:val="16"/>
                <w:szCs w:val="16"/>
              </w:rPr>
            </w:pPr>
          </w:p>
        </w:tc>
        <w:tc>
          <w:tcPr>
            <w:tcW w:w="0" w:type="auto"/>
            <w:vMerge/>
            <w:tcBorders>
              <w:top w:val="single" w:sz="6" w:space="0" w:color="auto"/>
              <w:left w:val="single" w:sz="2" w:space="0" w:color="auto"/>
              <w:bottom w:val="single" w:sz="4" w:space="0" w:color="auto"/>
              <w:right w:val="single" w:sz="2" w:space="0" w:color="auto"/>
            </w:tcBorders>
            <w:vAlign w:val="center"/>
            <w:hideMark/>
          </w:tcPr>
          <w:p w:rsidR="005F5522" w:rsidRPr="005F5522" w:rsidRDefault="005F5522" w:rsidP="005F5522">
            <w:pPr>
              <w:jc w:val="center"/>
              <w:rPr>
                <w:rFonts w:eastAsia="Calibri"/>
                <w:b/>
                <w:bCs/>
                <w:sz w:val="16"/>
                <w:szCs w:val="16"/>
              </w:rPr>
            </w:pPr>
          </w:p>
        </w:tc>
        <w:tc>
          <w:tcPr>
            <w:tcW w:w="0" w:type="auto"/>
            <w:vMerge/>
            <w:tcBorders>
              <w:top w:val="single" w:sz="6" w:space="0" w:color="auto"/>
              <w:left w:val="single" w:sz="2" w:space="0" w:color="auto"/>
              <w:bottom w:val="single" w:sz="4" w:space="0" w:color="auto"/>
              <w:right w:val="single" w:sz="2" w:space="0" w:color="auto"/>
            </w:tcBorders>
            <w:vAlign w:val="center"/>
            <w:hideMark/>
          </w:tcPr>
          <w:p w:rsidR="005F5522" w:rsidRPr="005F5522" w:rsidRDefault="005F5522" w:rsidP="005F5522">
            <w:pPr>
              <w:jc w:val="center"/>
              <w:rPr>
                <w:rFonts w:eastAsia="Calibri"/>
                <w:b/>
                <w:bCs/>
                <w:sz w:val="16"/>
                <w:szCs w:val="16"/>
              </w:rPr>
            </w:pPr>
          </w:p>
        </w:tc>
        <w:tc>
          <w:tcPr>
            <w:tcW w:w="0" w:type="auto"/>
            <w:vMerge/>
            <w:tcBorders>
              <w:top w:val="single" w:sz="6" w:space="0" w:color="auto"/>
              <w:left w:val="single" w:sz="2" w:space="0" w:color="auto"/>
              <w:bottom w:val="single" w:sz="4" w:space="0" w:color="auto"/>
              <w:right w:val="single" w:sz="2" w:space="0" w:color="auto"/>
            </w:tcBorders>
            <w:vAlign w:val="center"/>
            <w:hideMark/>
          </w:tcPr>
          <w:p w:rsidR="005F5522" w:rsidRPr="005F5522" w:rsidRDefault="005F5522" w:rsidP="005F5522">
            <w:pPr>
              <w:jc w:val="center"/>
              <w:rPr>
                <w:rFonts w:eastAsia="Calibri"/>
                <w:b/>
                <w:bCs/>
                <w:sz w:val="16"/>
                <w:szCs w:val="16"/>
              </w:rPr>
            </w:pPr>
          </w:p>
        </w:tc>
        <w:tc>
          <w:tcPr>
            <w:tcW w:w="0" w:type="auto"/>
            <w:vMerge/>
            <w:tcBorders>
              <w:left w:val="single" w:sz="2" w:space="0" w:color="auto"/>
              <w:bottom w:val="single" w:sz="4" w:space="0" w:color="auto"/>
              <w:right w:val="single" w:sz="2" w:space="0" w:color="auto"/>
            </w:tcBorders>
            <w:tcMar>
              <w:top w:w="0" w:type="dxa"/>
              <w:left w:w="71" w:type="dxa"/>
              <w:bottom w:w="0" w:type="dxa"/>
              <w:right w:w="71" w:type="dxa"/>
            </w:tcMar>
            <w:vAlign w:val="center"/>
            <w:hideMark/>
          </w:tcPr>
          <w:p w:rsidR="005F5522" w:rsidRPr="005F5522" w:rsidRDefault="005F5522" w:rsidP="005F5522">
            <w:pPr>
              <w:jc w:val="center"/>
              <w:rPr>
                <w:rFonts w:eastAsia="Calibri"/>
                <w:b/>
                <w:bCs/>
                <w:sz w:val="16"/>
                <w:szCs w:val="16"/>
              </w:rPr>
            </w:pPr>
          </w:p>
        </w:tc>
        <w:tc>
          <w:tcPr>
            <w:tcW w:w="800" w:type="dxa"/>
            <w:tcBorders>
              <w:top w:val="single" w:sz="2" w:space="0" w:color="auto"/>
              <w:left w:val="single" w:sz="2" w:space="0" w:color="auto"/>
              <w:bottom w:val="single" w:sz="4" w:space="0" w:color="auto"/>
              <w:right w:val="single" w:sz="2" w:space="0" w:color="auto"/>
            </w:tcBorders>
            <w:tcMar>
              <w:top w:w="0" w:type="dxa"/>
              <w:left w:w="71" w:type="dxa"/>
              <w:bottom w:w="0" w:type="dxa"/>
              <w:right w:w="71" w:type="dxa"/>
            </w:tcMar>
            <w:vAlign w:val="center"/>
            <w:hideMark/>
          </w:tcPr>
          <w:p w:rsidR="005F5522" w:rsidRPr="005F5522" w:rsidRDefault="005F5522" w:rsidP="005F5522">
            <w:pPr>
              <w:jc w:val="center"/>
              <w:rPr>
                <w:rFonts w:eastAsia="Calibri"/>
                <w:b/>
                <w:bCs/>
                <w:sz w:val="16"/>
                <w:szCs w:val="16"/>
              </w:rPr>
            </w:pPr>
            <w:r w:rsidRPr="005F5522">
              <w:rPr>
                <w:rFonts w:eastAsia="Calibri"/>
                <w:b/>
                <w:bCs/>
                <w:sz w:val="16"/>
                <w:szCs w:val="16"/>
              </w:rPr>
              <w:t>provvisorio</w:t>
            </w:r>
          </w:p>
        </w:tc>
        <w:tc>
          <w:tcPr>
            <w:tcW w:w="750" w:type="dxa"/>
            <w:tcBorders>
              <w:top w:val="single" w:sz="2" w:space="0" w:color="auto"/>
              <w:left w:val="single" w:sz="2" w:space="0" w:color="auto"/>
              <w:bottom w:val="single" w:sz="4" w:space="0" w:color="auto"/>
              <w:right w:val="single" w:sz="2" w:space="0" w:color="auto"/>
            </w:tcBorders>
            <w:tcMar>
              <w:top w:w="0" w:type="dxa"/>
              <w:left w:w="71" w:type="dxa"/>
              <w:bottom w:w="0" w:type="dxa"/>
              <w:right w:w="71" w:type="dxa"/>
            </w:tcMar>
            <w:vAlign w:val="center"/>
            <w:hideMark/>
          </w:tcPr>
          <w:p w:rsidR="005F5522" w:rsidRPr="005F5522" w:rsidRDefault="005F5522" w:rsidP="005F5522">
            <w:pPr>
              <w:jc w:val="center"/>
              <w:rPr>
                <w:rFonts w:eastAsia="Calibri"/>
                <w:b/>
                <w:bCs/>
                <w:sz w:val="16"/>
                <w:szCs w:val="16"/>
              </w:rPr>
            </w:pPr>
            <w:r w:rsidRPr="005F5522">
              <w:rPr>
                <w:rFonts w:eastAsia="Calibri"/>
                <w:b/>
                <w:bCs/>
                <w:sz w:val="16"/>
                <w:szCs w:val="16"/>
              </w:rPr>
              <w:t>previsione</w:t>
            </w:r>
          </w:p>
        </w:tc>
        <w:tc>
          <w:tcPr>
            <w:tcW w:w="0" w:type="auto"/>
            <w:tcBorders>
              <w:top w:val="single" w:sz="2" w:space="0" w:color="auto"/>
              <w:left w:val="single" w:sz="2" w:space="0" w:color="auto"/>
              <w:bottom w:val="single" w:sz="4" w:space="0" w:color="auto"/>
              <w:right w:val="single" w:sz="4" w:space="0" w:color="auto"/>
            </w:tcBorders>
            <w:tcMar>
              <w:top w:w="0" w:type="dxa"/>
              <w:left w:w="71" w:type="dxa"/>
              <w:bottom w:w="0" w:type="dxa"/>
              <w:right w:w="71" w:type="dxa"/>
            </w:tcMar>
            <w:vAlign w:val="center"/>
            <w:hideMark/>
          </w:tcPr>
          <w:p w:rsidR="005F5522" w:rsidRPr="005F5522" w:rsidRDefault="005F5522" w:rsidP="005F5522">
            <w:pPr>
              <w:jc w:val="center"/>
              <w:rPr>
                <w:rFonts w:eastAsia="Calibri"/>
                <w:b/>
                <w:bCs/>
                <w:sz w:val="16"/>
                <w:szCs w:val="16"/>
              </w:rPr>
            </w:pPr>
            <w:r w:rsidRPr="005F5522">
              <w:rPr>
                <w:rFonts w:eastAsia="Calibri"/>
                <w:b/>
                <w:bCs/>
                <w:sz w:val="16"/>
                <w:szCs w:val="16"/>
              </w:rPr>
              <w:t>proiezione</w:t>
            </w:r>
          </w:p>
        </w:tc>
        <w:tc>
          <w:tcPr>
            <w:tcW w:w="734" w:type="dxa"/>
            <w:gridSpan w:val="2"/>
            <w:tcBorders>
              <w:top w:val="single" w:sz="4" w:space="0" w:color="auto"/>
              <w:left w:val="single" w:sz="4" w:space="0" w:color="auto"/>
              <w:bottom w:val="single" w:sz="4" w:space="0" w:color="auto"/>
              <w:right w:val="single" w:sz="4" w:space="0" w:color="auto"/>
            </w:tcBorders>
            <w:vAlign w:val="center"/>
          </w:tcPr>
          <w:p w:rsidR="005F5522" w:rsidRPr="005F5522" w:rsidRDefault="005F5522" w:rsidP="005F5522">
            <w:pPr>
              <w:jc w:val="center"/>
              <w:rPr>
                <w:rFonts w:eastAsia="Calibri"/>
                <w:b/>
                <w:bCs/>
                <w:sz w:val="16"/>
                <w:szCs w:val="16"/>
              </w:rPr>
            </w:pPr>
            <w:r w:rsidRPr="005F5522">
              <w:rPr>
                <w:rFonts w:eastAsia="Calibri"/>
                <w:b/>
                <w:bCs/>
                <w:sz w:val="16"/>
                <w:szCs w:val="16"/>
              </w:rPr>
              <w:t>proiezione</w:t>
            </w:r>
          </w:p>
        </w:tc>
      </w:tr>
      <w:tr w:rsidR="005F5522" w:rsidRPr="005F5522" w:rsidTr="005518DF">
        <w:tc>
          <w:tcPr>
            <w:tcW w:w="0" w:type="auto"/>
            <w:tcBorders>
              <w:top w:val="single" w:sz="4" w:space="0" w:color="auto"/>
              <w:left w:val="single" w:sz="4" w:space="0" w:color="auto"/>
              <w:right w:val="single" w:sz="4" w:space="0" w:color="auto"/>
            </w:tcBorders>
            <w:tcMar>
              <w:top w:w="0" w:type="dxa"/>
              <w:left w:w="71" w:type="dxa"/>
              <w:bottom w:w="0" w:type="dxa"/>
              <w:right w:w="71" w:type="dxa"/>
            </w:tcMar>
            <w:vAlign w:val="center"/>
            <w:hideMark/>
          </w:tcPr>
          <w:p w:rsidR="005F5522" w:rsidRPr="005F5522" w:rsidRDefault="005F5522" w:rsidP="005F5522">
            <w:pPr>
              <w:rPr>
                <w:rFonts w:eastAsia="Calibri"/>
                <w:b/>
                <w:bCs/>
                <w:sz w:val="16"/>
                <w:szCs w:val="16"/>
              </w:rPr>
            </w:pPr>
            <w:r w:rsidRPr="005F5522">
              <w:rPr>
                <w:rFonts w:eastAsia="Calibri"/>
                <w:b/>
                <w:bCs/>
                <w:sz w:val="16"/>
                <w:szCs w:val="16"/>
              </w:rPr>
              <w:t>Tasse e contributi per Corsi di Laurea e Laurea magistrale</w:t>
            </w:r>
          </w:p>
        </w:tc>
        <w:tc>
          <w:tcPr>
            <w:tcW w:w="0" w:type="auto"/>
            <w:tcBorders>
              <w:top w:val="single" w:sz="4" w:space="0" w:color="auto"/>
              <w:left w:val="single" w:sz="4" w:space="0" w:color="auto"/>
              <w:right w:val="single" w:sz="4" w:space="0" w:color="auto"/>
            </w:tcBorders>
            <w:tcMar>
              <w:top w:w="0" w:type="dxa"/>
              <w:left w:w="71" w:type="dxa"/>
              <w:bottom w:w="0" w:type="dxa"/>
              <w:right w:w="71" w:type="dxa"/>
            </w:tcMar>
            <w:vAlign w:val="center"/>
            <w:hideMark/>
          </w:tcPr>
          <w:p w:rsidR="005F5522" w:rsidRPr="005F5522" w:rsidRDefault="005F5522" w:rsidP="005F5522">
            <w:pPr>
              <w:jc w:val="right"/>
              <w:rPr>
                <w:rFonts w:eastAsia="Calibri"/>
                <w:bCs/>
                <w:sz w:val="16"/>
                <w:szCs w:val="16"/>
              </w:rPr>
            </w:pPr>
            <w:r w:rsidRPr="005F5522">
              <w:rPr>
                <w:rFonts w:eastAsia="Calibri"/>
                <w:bCs/>
                <w:sz w:val="16"/>
                <w:szCs w:val="16"/>
              </w:rPr>
              <w:t>5.986.155</w:t>
            </w:r>
          </w:p>
        </w:tc>
        <w:tc>
          <w:tcPr>
            <w:tcW w:w="0" w:type="auto"/>
            <w:tcBorders>
              <w:top w:val="single" w:sz="4" w:space="0" w:color="auto"/>
              <w:left w:val="single" w:sz="4" w:space="0" w:color="auto"/>
              <w:right w:val="single" w:sz="4" w:space="0" w:color="auto"/>
            </w:tcBorders>
            <w:tcMar>
              <w:top w:w="0" w:type="dxa"/>
              <w:left w:w="71" w:type="dxa"/>
              <w:bottom w:w="0" w:type="dxa"/>
              <w:right w:w="71" w:type="dxa"/>
            </w:tcMar>
            <w:vAlign w:val="center"/>
            <w:hideMark/>
          </w:tcPr>
          <w:p w:rsidR="005F5522" w:rsidRPr="005F5522" w:rsidRDefault="005F5522" w:rsidP="005F5522">
            <w:pPr>
              <w:jc w:val="right"/>
              <w:rPr>
                <w:rFonts w:eastAsia="Calibri"/>
                <w:bCs/>
                <w:sz w:val="16"/>
                <w:szCs w:val="16"/>
              </w:rPr>
            </w:pPr>
            <w:r w:rsidRPr="005F5522">
              <w:rPr>
                <w:rFonts w:eastAsia="Calibri"/>
                <w:bCs/>
                <w:sz w:val="16"/>
                <w:szCs w:val="16"/>
              </w:rPr>
              <w:t>6.174.716</w:t>
            </w:r>
          </w:p>
        </w:tc>
        <w:tc>
          <w:tcPr>
            <w:tcW w:w="0" w:type="auto"/>
            <w:tcBorders>
              <w:top w:val="single" w:sz="4" w:space="0" w:color="auto"/>
              <w:left w:val="single" w:sz="4" w:space="0" w:color="auto"/>
              <w:right w:val="single" w:sz="4" w:space="0" w:color="auto"/>
            </w:tcBorders>
            <w:tcMar>
              <w:top w:w="0" w:type="dxa"/>
              <w:left w:w="71" w:type="dxa"/>
              <w:bottom w:w="0" w:type="dxa"/>
              <w:right w:w="71" w:type="dxa"/>
            </w:tcMar>
            <w:vAlign w:val="center"/>
            <w:hideMark/>
          </w:tcPr>
          <w:p w:rsidR="005F5522" w:rsidRPr="005F5522" w:rsidRDefault="005F5522" w:rsidP="005F5522">
            <w:pPr>
              <w:jc w:val="right"/>
              <w:rPr>
                <w:rFonts w:eastAsia="Calibri"/>
                <w:bCs/>
                <w:sz w:val="16"/>
                <w:szCs w:val="16"/>
              </w:rPr>
            </w:pPr>
            <w:r w:rsidRPr="005F5522">
              <w:rPr>
                <w:rFonts w:eastAsia="Calibri"/>
                <w:bCs/>
                <w:sz w:val="16"/>
                <w:szCs w:val="16"/>
              </w:rPr>
              <w:t>5.971.406</w:t>
            </w:r>
          </w:p>
        </w:tc>
        <w:tc>
          <w:tcPr>
            <w:tcW w:w="0" w:type="auto"/>
            <w:tcBorders>
              <w:top w:val="single" w:sz="4" w:space="0" w:color="auto"/>
              <w:left w:val="single" w:sz="4" w:space="0" w:color="auto"/>
              <w:right w:val="single" w:sz="4" w:space="0" w:color="auto"/>
            </w:tcBorders>
            <w:tcMar>
              <w:top w:w="0" w:type="dxa"/>
              <w:left w:w="71" w:type="dxa"/>
              <w:bottom w:w="0" w:type="dxa"/>
              <w:right w:w="71" w:type="dxa"/>
            </w:tcMar>
            <w:vAlign w:val="center"/>
            <w:hideMark/>
          </w:tcPr>
          <w:p w:rsidR="005F5522" w:rsidRPr="005F5522" w:rsidRDefault="005F5522" w:rsidP="005F5522">
            <w:pPr>
              <w:jc w:val="right"/>
              <w:rPr>
                <w:rFonts w:eastAsia="Calibri"/>
                <w:bCs/>
                <w:sz w:val="16"/>
                <w:szCs w:val="16"/>
              </w:rPr>
            </w:pPr>
            <w:r w:rsidRPr="005F5522">
              <w:rPr>
                <w:rFonts w:eastAsia="Calibri"/>
                <w:bCs/>
                <w:sz w:val="16"/>
                <w:szCs w:val="16"/>
              </w:rPr>
              <w:t>6.670.530</w:t>
            </w:r>
          </w:p>
        </w:tc>
        <w:tc>
          <w:tcPr>
            <w:tcW w:w="800" w:type="dxa"/>
            <w:tcBorders>
              <w:top w:val="single" w:sz="4" w:space="0" w:color="auto"/>
              <w:left w:val="single" w:sz="4" w:space="0" w:color="auto"/>
              <w:right w:val="single" w:sz="4" w:space="0" w:color="auto"/>
            </w:tcBorders>
            <w:tcMar>
              <w:top w:w="0" w:type="dxa"/>
              <w:left w:w="71" w:type="dxa"/>
              <w:bottom w:w="0" w:type="dxa"/>
              <w:right w:w="71" w:type="dxa"/>
            </w:tcMar>
            <w:hideMark/>
          </w:tcPr>
          <w:p w:rsidR="005F5522" w:rsidRPr="005F5522" w:rsidRDefault="005F5522" w:rsidP="005F5522">
            <w:pPr>
              <w:jc w:val="right"/>
              <w:rPr>
                <w:rFonts w:eastAsia="Calibri"/>
                <w:bCs/>
                <w:sz w:val="16"/>
                <w:szCs w:val="16"/>
              </w:rPr>
            </w:pPr>
            <w:r w:rsidRPr="005F5522">
              <w:rPr>
                <w:rFonts w:eastAsia="Calibri"/>
                <w:bCs/>
                <w:sz w:val="16"/>
                <w:szCs w:val="16"/>
              </w:rPr>
              <w:t>6.752.195</w:t>
            </w:r>
          </w:p>
        </w:tc>
        <w:tc>
          <w:tcPr>
            <w:tcW w:w="750" w:type="dxa"/>
            <w:tcBorders>
              <w:top w:val="single" w:sz="4" w:space="0" w:color="auto"/>
              <w:left w:val="single" w:sz="4" w:space="0" w:color="auto"/>
              <w:right w:val="single" w:sz="4" w:space="0" w:color="auto"/>
            </w:tcBorders>
            <w:tcMar>
              <w:top w:w="0" w:type="dxa"/>
              <w:left w:w="71" w:type="dxa"/>
              <w:bottom w:w="0" w:type="dxa"/>
              <w:right w:w="71" w:type="dxa"/>
            </w:tcMar>
            <w:hideMark/>
          </w:tcPr>
          <w:p w:rsidR="005F5522" w:rsidRPr="005F5522" w:rsidRDefault="005F5522" w:rsidP="005F5522">
            <w:pPr>
              <w:jc w:val="right"/>
              <w:rPr>
                <w:rFonts w:eastAsia="Calibri"/>
                <w:bCs/>
                <w:sz w:val="16"/>
                <w:szCs w:val="16"/>
              </w:rPr>
            </w:pPr>
            <w:r w:rsidRPr="005F5522">
              <w:rPr>
                <w:rFonts w:eastAsia="Calibri"/>
                <w:bCs/>
                <w:sz w:val="16"/>
                <w:szCs w:val="16"/>
              </w:rPr>
              <w:t xml:space="preserve">6.932.547 </w:t>
            </w:r>
          </w:p>
        </w:tc>
        <w:tc>
          <w:tcPr>
            <w:tcW w:w="0" w:type="auto"/>
            <w:tcBorders>
              <w:top w:val="single" w:sz="4" w:space="0" w:color="auto"/>
              <w:left w:val="single" w:sz="4" w:space="0" w:color="auto"/>
              <w:right w:val="single" w:sz="4" w:space="0" w:color="auto"/>
            </w:tcBorders>
            <w:tcMar>
              <w:top w:w="0" w:type="dxa"/>
              <w:left w:w="71" w:type="dxa"/>
              <w:bottom w:w="0" w:type="dxa"/>
              <w:right w:w="71" w:type="dxa"/>
            </w:tcMar>
            <w:hideMark/>
          </w:tcPr>
          <w:p w:rsidR="005F5522" w:rsidRPr="005F5522" w:rsidRDefault="005F5522" w:rsidP="005F5522">
            <w:pPr>
              <w:jc w:val="right"/>
              <w:rPr>
                <w:rFonts w:eastAsia="Calibri"/>
                <w:bCs/>
                <w:sz w:val="16"/>
                <w:szCs w:val="16"/>
              </w:rPr>
            </w:pPr>
            <w:r w:rsidRPr="005F5522">
              <w:rPr>
                <w:rFonts w:eastAsia="Calibri"/>
                <w:bCs/>
                <w:sz w:val="16"/>
                <w:szCs w:val="16"/>
              </w:rPr>
              <w:t xml:space="preserve">6.882.547 </w:t>
            </w:r>
          </w:p>
        </w:tc>
        <w:tc>
          <w:tcPr>
            <w:tcW w:w="734" w:type="dxa"/>
            <w:gridSpan w:val="2"/>
            <w:tcBorders>
              <w:top w:val="single" w:sz="4" w:space="0" w:color="auto"/>
              <w:left w:val="single" w:sz="4" w:space="0" w:color="auto"/>
              <w:right w:val="single" w:sz="4" w:space="0" w:color="auto"/>
            </w:tcBorders>
          </w:tcPr>
          <w:p w:rsidR="005F5522" w:rsidRPr="005F5522" w:rsidRDefault="005F5522" w:rsidP="005F5522">
            <w:pPr>
              <w:jc w:val="right"/>
              <w:rPr>
                <w:rFonts w:eastAsia="Calibri"/>
                <w:bCs/>
                <w:sz w:val="16"/>
                <w:szCs w:val="16"/>
              </w:rPr>
            </w:pPr>
            <w:r w:rsidRPr="005F5522">
              <w:rPr>
                <w:rFonts w:eastAsia="Calibri"/>
                <w:bCs/>
                <w:sz w:val="16"/>
                <w:szCs w:val="16"/>
              </w:rPr>
              <w:t xml:space="preserve">6.882.547 </w:t>
            </w:r>
          </w:p>
        </w:tc>
      </w:tr>
      <w:tr w:rsidR="005F5522" w:rsidRPr="005F5522" w:rsidTr="005518DF">
        <w:tc>
          <w:tcPr>
            <w:tcW w:w="0" w:type="auto"/>
            <w:tcBorders>
              <w:left w:val="single" w:sz="4" w:space="0" w:color="auto"/>
              <w:right w:val="single" w:sz="4" w:space="0" w:color="auto"/>
            </w:tcBorders>
            <w:tcMar>
              <w:top w:w="0" w:type="dxa"/>
              <w:left w:w="71" w:type="dxa"/>
              <w:bottom w:w="0" w:type="dxa"/>
              <w:right w:w="71" w:type="dxa"/>
            </w:tcMar>
            <w:vAlign w:val="center"/>
            <w:hideMark/>
          </w:tcPr>
          <w:p w:rsidR="005F5522" w:rsidRPr="005F5522" w:rsidRDefault="005F5522" w:rsidP="005F5522">
            <w:pPr>
              <w:rPr>
                <w:rFonts w:eastAsia="Calibri"/>
                <w:b/>
                <w:bCs/>
                <w:sz w:val="16"/>
                <w:szCs w:val="16"/>
              </w:rPr>
            </w:pPr>
            <w:r w:rsidRPr="005F5522">
              <w:rPr>
                <w:rFonts w:eastAsia="Calibri"/>
                <w:b/>
                <w:bCs/>
                <w:sz w:val="16"/>
                <w:szCs w:val="16"/>
              </w:rPr>
              <w:t>Tasse e contributi per altri corsi e servizi</w:t>
            </w:r>
          </w:p>
        </w:tc>
        <w:tc>
          <w:tcPr>
            <w:tcW w:w="0" w:type="auto"/>
            <w:tcBorders>
              <w:left w:val="single" w:sz="4" w:space="0" w:color="auto"/>
              <w:right w:val="single" w:sz="4" w:space="0" w:color="auto"/>
            </w:tcBorders>
            <w:tcMar>
              <w:top w:w="0" w:type="dxa"/>
              <w:left w:w="71" w:type="dxa"/>
              <w:bottom w:w="0" w:type="dxa"/>
              <w:right w:w="71" w:type="dxa"/>
            </w:tcMar>
            <w:vAlign w:val="center"/>
            <w:hideMark/>
          </w:tcPr>
          <w:p w:rsidR="005F5522" w:rsidRPr="005F5522" w:rsidRDefault="005F5522" w:rsidP="005F5522">
            <w:pPr>
              <w:jc w:val="right"/>
              <w:rPr>
                <w:rFonts w:eastAsia="Calibri"/>
                <w:bCs/>
                <w:sz w:val="16"/>
                <w:szCs w:val="16"/>
              </w:rPr>
            </w:pPr>
            <w:r w:rsidRPr="005F5522">
              <w:rPr>
                <w:rFonts w:eastAsia="Calibri"/>
                <w:bCs/>
                <w:sz w:val="16"/>
                <w:szCs w:val="16"/>
              </w:rPr>
              <w:t>539.907</w:t>
            </w:r>
          </w:p>
        </w:tc>
        <w:tc>
          <w:tcPr>
            <w:tcW w:w="0" w:type="auto"/>
            <w:tcBorders>
              <w:left w:val="single" w:sz="4" w:space="0" w:color="auto"/>
              <w:right w:val="single" w:sz="4" w:space="0" w:color="auto"/>
            </w:tcBorders>
            <w:tcMar>
              <w:top w:w="0" w:type="dxa"/>
              <w:left w:w="71" w:type="dxa"/>
              <w:bottom w:w="0" w:type="dxa"/>
              <w:right w:w="71" w:type="dxa"/>
            </w:tcMar>
            <w:vAlign w:val="center"/>
            <w:hideMark/>
          </w:tcPr>
          <w:p w:rsidR="005F5522" w:rsidRPr="005F5522" w:rsidRDefault="005F5522" w:rsidP="005F5522">
            <w:pPr>
              <w:jc w:val="right"/>
              <w:rPr>
                <w:rFonts w:eastAsia="Calibri"/>
                <w:bCs/>
                <w:sz w:val="16"/>
                <w:szCs w:val="16"/>
              </w:rPr>
            </w:pPr>
            <w:r w:rsidRPr="005F5522">
              <w:rPr>
                <w:rFonts w:eastAsia="Calibri"/>
                <w:bCs/>
                <w:sz w:val="16"/>
                <w:szCs w:val="16"/>
              </w:rPr>
              <w:t>735.380</w:t>
            </w:r>
          </w:p>
        </w:tc>
        <w:tc>
          <w:tcPr>
            <w:tcW w:w="0" w:type="auto"/>
            <w:tcBorders>
              <w:left w:val="single" w:sz="4" w:space="0" w:color="auto"/>
              <w:right w:val="single" w:sz="4" w:space="0" w:color="auto"/>
            </w:tcBorders>
            <w:tcMar>
              <w:top w:w="0" w:type="dxa"/>
              <w:left w:w="71" w:type="dxa"/>
              <w:bottom w:w="0" w:type="dxa"/>
              <w:right w:w="71" w:type="dxa"/>
            </w:tcMar>
            <w:vAlign w:val="center"/>
            <w:hideMark/>
          </w:tcPr>
          <w:p w:rsidR="005F5522" w:rsidRPr="005F5522" w:rsidRDefault="005F5522" w:rsidP="005F5522">
            <w:pPr>
              <w:jc w:val="right"/>
              <w:rPr>
                <w:rFonts w:eastAsia="Calibri"/>
                <w:bCs/>
                <w:sz w:val="16"/>
                <w:szCs w:val="16"/>
              </w:rPr>
            </w:pPr>
            <w:r w:rsidRPr="005F5522">
              <w:rPr>
                <w:rFonts w:eastAsia="Calibri"/>
                <w:bCs/>
                <w:sz w:val="16"/>
                <w:szCs w:val="16"/>
              </w:rPr>
              <w:t>1.181.774</w:t>
            </w:r>
          </w:p>
        </w:tc>
        <w:tc>
          <w:tcPr>
            <w:tcW w:w="0" w:type="auto"/>
            <w:tcBorders>
              <w:left w:val="single" w:sz="4" w:space="0" w:color="auto"/>
              <w:right w:val="single" w:sz="4" w:space="0" w:color="auto"/>
            </w:tcBorders>
            <w:tcMar>
              <w:top w:w="0" w:type="dxa"/>
              <w:left w:w="71" w:type="dxa"/>
              <w:bottom w:w="0" w:type="dxa"/>
              <w:right w:w="71" w:type="dxa"/>
            </w:tcMar>
            <w:vAlign w:val="center"/>
            <w:hideMark/>
          </w:tcPr>
          <w:p w:rsidR="005F5522" w:rsidRPr="005F5522" w:rsidRDefault="005F5522" w:rsidP="005F5522">
            <w:pPr>
              <w:jc w:val="right"/>
              <w:rPr>
                <w:rFonts w:eastAsia="Calibri"/>
                <w:bCs/>
                <w:sz w:val="16"/>
                <w:szCs w:val="16"/>
              </w:rPr>
            </w:pPr>
            <w:r w:rsidRPr="005F5522">
              <w:rPr>
                <w:rFonts w:eastAsia="Calibri"/>
                <w:bCs/>
                <w:sz w:val="16"/>
                <w:szCs w:val="16"/>
              </w:rPr>
              <w:t>878.196</w:t>
            </w:r>
          </w:p>
        </w:tc>
        <w:tc>
          <w:tcPr>
            <w:tcW w:w="800" w:type="dxa"/>
            <w:tcBorders>
              <w:left w:val="single" w:sz="4" w:space="0" w:color="auto"/>
              <w:right w:val="single" w:sz="4" w:space="0" w:color="auto"/>
            </w:tcBorders>
            <w:tcMar>
              <w:top w:w="0" w:type="dxa"/>
              <w:left w:w="71" w:type="dxa"/>
              <w:bottom w:w="0" w:type="dxa"/>
              <w:right w:w="71" w:type="dxa"/>
            </w:tcMar>
            <w:hideMark/>
          </w:tcPr>
          <w:p w:rsidR="005F5522" w:rsidRPr="005F5522" w:rsidRDefault="005F5522" w:rsidP="005F5522">
            <w:pPr>
              <w:jc w:val="right"/>
              <w:rPr>
                <w:rFonts w:eastAsia="Calibri"/>
                <w:bCs/>
                <w:sz w:val="16"/>
                <w:szCs w:val="16"/>
              </w:rPr>
            </w:pPr>
            <w:r w:rsidRPr="005F5522">
              <w:rPr>
                <w:rFonts w:eastAsia="Calibri"/>
                <w:bCs/>
                <w:sz w:val="16"/>
                <w:szCs w:val="16"/>
              </w:rPr>
              <w:t>595.441</w:t>
            </w:r>
          </w:p>
        </w:tc>
        <w:tc>
          <w:tcPr>
            <w:tcW w:w="750" w:type="dxa"/>
            <w:tcBorders>
              <w:left w:val="single" w:sz="4" w:space="0" w:color="auto"/>
              <w:right w:val="single" w:sz="4" w:space="0" w:color="auto"/>
            </w:tcBorders>
            <w:tcMar>
              <w:top w:w="0" w:type="dxa"/>
              <w:left w:w="71" w:type="dxa"/>
              <w:bottom w:w="0" w:type="dxa"/>
              <w:right w:w="71" w:type="dxa"/>
            </w:tcMar>
            <w:hideMark/>
          </w:tcPr>
          <w:p w:rsidR="005F5522" w:rsidRPr="005F5522" w:rsidRDefault="005F5522" w:rsidP="005F5522">
            <w:pPr>
              <w:jc w:val="right"/>
              <w:rPr>
                <w:rFonts w:eastAsia="Calibri"/>
                <w:bCs/>
                <w:sz w:val="16"/>
                <w:szCs w:val="16"/>
              </w:rPr>
            </w:pPr>
            <w:r w:rsidRPr="005F5522">
              <w:rPr>
                <w:rFonts w:eastAsia="Calibri"/>
                <w:bCs/>
                <w:sz w:val="16"/>
                <w:szCs w:val="16"/>
              </w:rPr>
              <w:t xml:space="preserve">490.319 </w:t>
            </w:r>
          </w:p>
        </w:tc>
        <w:tc>
          <w:tcPr>
            <w:tcW w:w="0" w:type="auto"/>
            <w:tcBorders>
              <w:left w:val="single" w:sz="4" w:space="0" w:color="auto"/>
              <w:right w:val="single" w:sz="4" w:space="0" w:color="auto"/>
            </w:tcBorders>
            <w:tcMar>
              <w:top w:w="0" w:type="dxa"/>
              <w:left w:w="71" w:type="dxa"/>
              <w:bottom w:w="0" w:type="dxa"/>
              <w:right w:w="71" w:type="dxa"/>
            </w:tcMar>
            <w:hideMark/>
          </w:tcPr>
          <w:p w:rsidR="005F5522" w:rsidRPr="005F5522" w:rsidRDefault="005F5522" w:rsidP="005F5522">
            <w:pPr>
              <w:jc w:val="right"/>
              <w:rPr>
                <w:rFonts w:eastAsia="Calibri"/>
                <w:bCs/>
                <w:sz w:val="16"/>
                <w:szCs w:val="16"/>
              </w:rPr>
            </w:pPr>
            <w:r w:rsidRPr="005F5522">
              <w:rPr>
                <w:rFonts w:eastAsia="Calibri"/>
                <w:bCs/>
                <w:sz w:val="16"/>
                <w:szCs w:val="16"/>
              </w:rPr>
              <w:t xml:space="preserve">490.319 </w:t>
            </w:r>
          </w:p>
        </w:tc>
        <w:tc>
          <w:tcPr>
            <w:tcW w:w="734" w:type="dxa"/>
            <w:gridSpan w:val="2"/>
            <w:tcBorders>
              <w:left w:val="single" w:sz="4" w:space="0" w:color="auto"/>
              <w:right w:val="single" w:sz="4" w:space="0" w:color="auto"/>
            </w:tcBorders>
          </w:tcPr>
          <w:p w:rsidR="005F5522" w:rsidRPr="005F5522" w:rsidRDefault="005F5522" w:rsidP="005F5522">
            <w:pPr>
              <w:jc w:val="right"/>
              <w:rPr>
                <w:rFonts w:eastAsia="Calibri"/>
                <w:bCs/>
                <w:sz w:val="16"/>
                <w:szCs w:val="16"/>
              </w:rPr>
            </w:pPr>
            <w:r w:rsidRPr="005F5522">
              <w:rPr>
                <w:rFonts w:eastAsia="Calibri"/>
                <w:bCs/>
                <w:sz w:val="16"/>
                <w:szCs w:val="16"/>
              </w:rPr>
              <w:t xml:space="preserve">490.319   </w:t>
            </w:r>
          </w:p>
        </w:tc>
      </w:tr>
      <w:tr w:rsidR="005F5522" w:rsidRPr="005F5522" w:rsidTr="005F5522">
        <w:tc>
          <w:tcPr>
            <w:tcW w:w="0" w:type="auto"/>
            <w:tcBorders>
              <w:left w:val="single" w:sz="4" w:space="0" w:color="auto"/>
              <w:right w:val="single" w:sz="4" w:space="0" w:color="auto"/>
            </w:tcBorders>
            <w:shd w:val="clear" w:color="auto" w:fill="D3DFEE"/>
            <w:tcMar>
              <w:top w:w="0" w:type="dxa"/>
              <w:left w:w="71" w:type="dxa"/>
              <w:bottom w:w="0" w:type="dxa"/>
              <w:right w:w="71" w:type="dxa"/>
            </w:tcMar>
            <w:vAlign w:val="center"/>
            <w:hideMark/>
          </w:tcPr>
          <w:p w:rsidR="005F5522" w:rsidRPr="005F5522" w:rsidRDefault="005F5522" w:rsidP="005F5522">
            <w:pPr>
              <w:rPr>
                <w:rFonts w:eastAsia="Calibri"/>
                <w:b/>
                <w:bCs/>
                <w:sz w:val="16"/>
                <w:szCs w:val="16"/>
              </w:rPr>
            </w:pPr>
            <w:r w:rsidRPr="005F5522">
              <w:rPr>
                <w:rFonts w:eastAsia="Calibri"/>
                <w:b/>
                <w:bCs/>
                <w:sz w:val="16"/>
                <w:szCs w:val="16"/>
              </w:rPr>
              <w:t>Totale generale</w:t>
            </w:r>
          </w:p>
        </w:tc>
        <w:tc>
          <w:tcPr>
            <w:tcW w:w="0" w:type="auto"/>
            <w:tcBorders>
              <w:left w:val="single" w:sz="4" w:space="0" w:color="auto"/>
              <w:right w:val="single" w:sz="4" w:space="0" w:color="auto"/>
            </w:tcBorders>
            <w:shd w:val="clear" w:color="auto" w:fill="D3DFEE"/>
            <w:tcMar>
              <w:top w:w="0" w:type="dxa"/>
              <w:left w:w="71" w:type="dxa"/>
              <w:bottom w:w="0" w:type="dxa"/>
              <w:right w:w="71" w:type="dxa"/>
            </w:tcMar>
            <w:vAlign w:val="center"/>
            <w:hideMark/>
          </w:tcPr>
          <w:p w:rsidR="005F5522" w:rsidRPr="005F5522" w:rsidRDefault="005F5522" w:rsidP="005F5522">
            <w:pPr>
              <w:jc w:val="right"/>
              <w:rPr>
                <w:rFonts w:eastAsia="Calibri"/>
                <w:bCs/>
                <w:sz w:val="16"/>
                <w:szCs w:val="16"/>
              </w:rPr>
            </w:pPr>
            <w:r w:rsidRPr="005F5522">
              <w:rPr>
                <w:rFonts w:eastAsia="Calibri"/>
                <w:bCs/>
                <w:sz w:val="16"/>
                <w:szCs w:val="16"/>
              </w:rPr>
              <w:t>6.526.062</w:t>
            </w:r>
          </w:p>
        </w:tc>
        <w:tc>
          <w:tcPr>
            <w:tcW w:w="0" w:type="auto"/>
            <w:tcBorders>
              <w:left w:val="single" w:sz="4" w:space="0" w:color="auto"/>
              <w:right w:val="single" w:sz="4" w:space="0" w:color="auto"/>
            </w:tcBorders>
            <w:shd w:val="clear" w:color="auto" w:fill="D3DFEE"/>
            <w:tcMar>
              <w:top w:w="0" w:type="dxa"/>
              <w:left w:w="71" w:type="dxa"/>
              <w:bottom w:w="0" w:type="dxa"/>
              <w:right w:w="71" w:type="dxa"/>
            </w:tcMar>
            <w:vAlign w:val="center"/>
            <w:hideMark/>
          </w:tcPr>
          <w:p w:rsidR="005F5522" w:rsidRPr="005F5522" w:rsidRDefault="005F5522" w:rsidP="005F5522">
            <w:pPr>
              <w:jc w:val="right"/>
              <w:rPr>
                <w:rFonts w:eastAsia="Calibri"/>
                <w:bCs/>
                <w:sz w:val="16"/>
                <w:szCs w:val="16"/>
              </w:rPr>
            </w:pPr>
            <w:r w:rsidRPr="005F5522">
              <w:rPr>
                <w:rFonts w:eastAsia="Calibri"/>
                <w:bCs/>
                <w:sz w:val="16"/>
                <w:szCs w:val="16"/>
              </w:rPr>
              <w:t>6.910.096</w:t>
            </w:r>
          </w:p>
        </w:tc>
        <w:tc>
          <w:tcPr>
            <w:tcW w:w="0" w:type="auto"/>
            <w:tcBorders>
              <w:left w:val="single" w:sz="4" w:space="0" w:color="auto"/>
              <w:right w:val="single" w:sz="4" w:space="0" w:color="auto"/>
            </w:tcBorders>
            <w:shd w:val="clear" w:color="auto" w:fill="D3DFEE"/>
            <w:tcMar>
              <w:top w:w="0" w:type="dxa"/>
              <w:left w:w="71" w:type="dxa"/>
              <w:bottom w:w="0" w:type="dxa"/>
              <w:right w:w="71" w:type="dxa"/>
            </w:tcMar>
            <w:vAlign w:val="center"/>
            <w:hideMark/>
          </w:tcPr>
          <w:p w:rsidR="005F5522" w:rsidRPr="005F5522" w:rsidRDefault="005F5522" w:rsidP="005F5522">
            <w:pPr>
              <w:jc w:val="right"/>
              <w:rPr>
                <w:rFonts w:eastAsia="Calibri"/>
                <w:bCs/>
                <w:sz w:val="16"/>
                <w:szCs w:val="16"/>
              </w:rPr>
            </w:pPr>
            <w:r w:rsidRPr="005F5522">
              <w:rPr>
                <w:rFonts w:eastAsia="Calibri"/>
                <w:bCs/>
                <w:sz w:val="16"/>
                <w:szCs w:val="16"/>
              </w:rPr>
              <w:t>7.153.180</w:t>
            </w:r>
          </w:p>
        </w:tc>
        <w:tc>
          <w:tcPr>
            <w:tcW w:w="0" w:type="auto"/>
            <w:tcBorders>
              <w:left w:val="single" w:sz="4" w:space="0" w:color="auto"/>
              <w:right w:val="single" w:sz="4" w:space="0" w:color="auto"/>
            </w:tcBorders>
            <w:shd w:val="clear" w:color="auto" w:fill="D3DFEE"/>
            <w:tcMar>
              <w:top w:w="0" w:type="dxa"/>
              <w:left w:w="71" w:type="dxa"/>
              <w:bottom w:w="0" w:type="dxa"/>
              <w:right w:w="71" w:type="dxa"/>
            </w:tcMar>
            <w:vAlign w:val="center"/>
            <w:hideMark/>
          </w:tcPr>
          <w:p w:rsidR="005F5522" w:rsidRPr="005F5522" w:rsidRDefault="005F5522" w:rsidP="005F5522">
            <w:pPr>
              <w:jc w:val="right"/>
              <w:rPr>
                <w:rFonts w:eastAsia="Calibri"/>
                <w:bCs/>
                <w:sz w:val="16"/>
                <w:szCs w:val="16"/>
              </w:rPr>
            </w:pPr>
            <w:r w:rsidRPr="005F5522">
              <w:rPr>
                <w:rFonts w:eastAsia="Calibri"/>
                <w:bCs/>
                <w:sz w:val="16"/>
                <w:szCs w:val="16"/>
              </w:rPr>
              <w:t xml:space="preserve">7.548.726 </w:t>
            </w:r>
          </w:p>
        </w:tc>
        <w:tc>
          <w:tcPr>
            <w:tcW w:w="800" w:type="dxa"/>
            <w:tcBorders>
              <w:left w:val="single" w:sz="4" w:space="0" w:color="auto"/>
              <w:right w:val="single" w:sz="4" w:space="0" w:color="auto"/>
            </w:tcBorders>
            <w:shd w:val="clear" w:color="auto" w:fill="D3DFEE"/>
            <w:tcMar>
              <w:top w:w="0" w:type="dxa"/>
              <w:left w:w="71" w:type="dxa"/>
              <w:bottom w:w="0" w:type="dxa"/>
              <w:right w:w="71" w:type="dxa"/>
            </w:tcMar>
            <w:hideMark/>
          </w:tcPr>
          <w:p w:rsidR="005F5522" w:rsidRPr="005F5522" w:rsidRDefault="005F5522" w:rsidP="005F5522">
            <w:pPr>
              <w:jc w:val="right"/>
              <w:rPr>
                <w:rFonts w:eastAsia="Calibri"/>
                <w:bCs/>
                <w:sz w:val="16"/>
                <w:szCs w:val="16"/>
              </w:rPr>
            </w:pPr>
            <w:r w:rsidRPr="005F5522">
              <w:rPr>
                <w:rFonts w:eastAsia="Calibri"/>
                <w:bCs/>
                <w:sz w:val="16"/>
                <w:szCs w:val="16"/>
              </w:rPr>
              <w:t>7.347.636</w:t>
            </w:r>
          </w:p>
        </w:tc>
        <w:tc>
          <w:tcPr>
            <w:tcW w:w="750" w:type="dxa"/>
            <w:tcBorders>
              <w:left w:val="single" w:sz="4" w:space="0" w:color="auto"/>
              <w:right w:val="single" w:sz="4" w:space="0" w:color="auto"/>
            </w:tcBorders>
            <w:shd w:val="clear" w:color="auto" w:fill="D3DFEE"/>
            <w:tcMar>
              <w:top w:w="0" w:type="dxa"/>
              <w:left w:w="71" w:type="dxa"/>
              <w:bottom w:w="0" w:type="dxa"/>
              <w:right w:w="71" w:type="dxa"/>
            </w:tcMar>
            <w:hideMark/>
          </w:tcPr>
          <w:p w:rsidR="005F5522" w:rsidRPr="005F5522" w:rsidRDefault="005F5522" w:rsidP="005F5522">
            <w:pPr>
              <w:jc w:val="right"/>
              <w:rPr>
                <w:rFonts w:eastAsia="Calibri"/>
                <w:bCs/>
                <w:sz w:val="16"/>
                <w:szCs w:val="16"/>
              </w:rPr>
            </w:pPr>
            <w:r w:rsidRPr="005F5522">
              <w:rPr>
                <w:rFonts w:eastAsia="Calibri"/>
                <w:bCs/>
                <w:sz w:val="16"/>
                <w:szCs w:val="16"/>
              </w:rPr>
              <w:t xml:space="preserve">7.422.866 </w:t>
            </w:r>
          </w:p>
        </w:tc>
        <w:tc>
          <w:tcPr>
            <w:tcW w:w="0" w:type="auto"/>
            <w:tcBorders>
              <w:left w:val="single" w:sz="4" w:space="0" w:color="auto"/>
              <w:right w:val="single" w:sz="4" w:space="0" w:color="auto"/>
            </w:tcBorders>
            <w:shd w:val="clear" w:color="auto" w:fill="D3DFEE"/>
            <w:tcMar>
              <w:top w:w="0" w:type="dxa"/>
              <w:left w:w="71" w:type="dxa"/>
              <w:bottom w:w="0" w:type="dxa"/>
              <w:right w:w="71" w:type="dxa"/>
            </w:tcMar>
            <w:hideMark/>
          </w:tcPr>
          <w:p w:rsidR="005F5522" w:rsidRPr="005F5522" w:rsidRDefault="005F5522" w:rsidP="005F5522">
            <w:pPr>
              <w:jc w:val="right"/>
              <w:rPr>
                <w:rFonts w:eastAsia="Calibri"/>
                <w:bCs/>
                <w:sz w:val="16"/>
                <w:szCs w:val="16"/>
              </w:rPr>
            </w:pPr>
            <w:r w:rsidRPr="005F5522">
              <w:rPr>
                <w:rFonts w:eastAsia="Calibri"/>
                <w:bCs/>
                <w:sz w:val="16"/>
                <w:szCs w:val="16"/>
              </w:rPr>
              <w:t xml:space="preserve">7.372.866 </w:t>
            </w:r>
          </w:p>
        </w:tc>
        <w:tc>
          <w:tcPr>
            <w:tcW w:w="734" w:type="dxa"/>
            <w:gridSpan w:val="2"/>
            <w:tcBorders>
              <w:left w:val="single" w:sz="4" w:space="0" w:color="auto"/>
              <w:right w:val="single" w:sz="4" w:space="0" w:color="auto"/>
            </w:tcBorders>
            <w:shd w:val="clear" w:color="auto" w:fill="D9E2F3"/>
          </w:tcPr>
          <w:p w:rsidR="005F5522" w:rsidRPr="005F5522" w:rsidRDefault="005F5522" w:rsidP="005F5522">
            <w:pPr>
              <w:jc w:val="right"/>
              <w:rPr>
                <w:rFonts w:eastAsia="Calibri"/>
                <w:bCs/>
                <w:sz w:val="16"/>
                <w:szCs w:val="16"/>
              </w:rPr>
            </w:pPr>
            <w:r w:rsidRPr="005F5522">
              <w:rPr>
                <w:rFonts w:eastAsia="Calibri"/>
                <w:bCs/>
                <w:sz w:val="16"/>
                <w:szCs w:val="16"/>
              </w:rPr>
              <w:t xml:space="preserve">7.372.866 </w:t>
            </w:r>
          </w:p>
        </w:tc>
      </w:tr>
      <w:tr w:rsidR="005F5522" w:rsidRPr="005F5522" w:rsidTr="005518DF">
        <w:trPr>
          <w:trHeight w:val="190"/>
        </w:trPr>
        <w:tc>
          <w:tcPr>
            <w:tcW w:w="0" w:type="auto"/>
            <w:tcBorders>
              <w:left w:val="single" w:sz="4" w:space="0" w:color="auto"/>
              <w:bottom w:val="single" w:sz="4" w:space="0" w:color="auto"/>
              <w:right w:val="single" w:sz="4" w:space="0" w:color="auto"/>
            </w:tcBorders>
            <w:tcMar>
              <w:top w:w="0" w:type="dxa"/>
              <w:left w:w="71" w:type="dxa"/>
              <w:bottom w:w="0" w:type="dxa"/>
              <w:right w:w="71" w:type="dxa"/>
            </w:tcMar>
            <w:vAlign w:val="center"/>
            <w:hideMark/>
          </w:tcPr>
          <w:p w:rsidR="005F5522" w:rsidRPr="005F5522" w:rsidRDefault="005F5522" w:rsidP="005F5522">
            <w:pPr>
              <w:rPr>
                <w:rFonts w:eastAsia="Calibri"/>
                <w:b/>
                <w:bCs/>
                <w:sz w:val="16"/>
                <w:szCs w:val="16"/>
              </w:rPr>
            </w:pPr>
            <w:r w:rsidRPr="005F5522">
              <w:rPr>
                <w:rFonts w:eastAsia="Calibri"/>
                <w:b/>
                <w:bCs/>
                <w:sz w:val="16"/>
                <w:szCs w:val="16"/>
              </w:rPr>
              <w:t>Var. % vs. anno 2012</w:t>
            </w:r>
          </w:p>
        </w:tc>
        <w:tc>
          <w:tcPr>
            <w:tcW w:w="0" w:type="auto"/>
            <w:tcBorders>
              <w:left w:val="single" w:sz="4" w:space="0" w:color="auto"/>
              <w:bottom w:val="single" w:sz="4" w:space="0" w:color="auto"/>
              <w:right w:val="single" w:sz="4" w:space="0" w:color="auto"/>
            </w:tcBorders>
            <w:tcMar>
              <w:top w:w="0" w:type="dxa"/>
              <w:left w:w="71" w:type="dxa"/>
              <w:bottom w:w="0" w:type="dxa"/>
              <w:right w:w="71" w:type="dxa"/>
            </w:tcMar>
            <w:hideMark/>
          </w:tcPr>
          <w:p w:rsidR="005F5522" w:rsidRPr="005F5522" w:rsidRDefault="005F5522" w:rsidP="005F5522">
            <w:pPr>
              <w:jc w:val="right"/>
              <w:rPr>
                <w:rFonts w:eastAsia="Calibri"/>
                <w:sz w:val="16"/>
                <w:szCs w:val="16"/>
                <w:lang w:eastAsia="en-US"/>
              </w:rPr>
            </w:pPr>
          </w:p>
        </w:tc>
        <w:tc>
          <w:tcPr>
            <w:tcW w:w="0" w:type="auto"/>
            <w:tcBorders>
              <w:left w:val="single" w:sz="4" w:space="0" w:color="auto"/>
              <w:bottom w:val="single" w:sz="4" w:space="0" w:color="auto"/>
              <w:right w:val="single" w:sz="4" w:space="0" w:color="auto"/>
            </w:tcBorders>
            <w:tcMar>
              <w:top w:w="0" w:type="dxa"/>
              <w:left w:w="71" w:type="dxa"/>
              <w:bottom w:w="0" w:type="dxa"/>
              <w:right w:w="71" w:type="dxa"/>
            </w:tcMar>
            <w:hideMark/>
          </w:tcPr>
          <w:p w:rsidR="005F5522" w:rsidRPr="005F5522" w:rsidRDefault="005F5522" w:rsidP="005F5522">
            <w:pPr>
              <w:jc w:val="right"/>
              <w:rPr>
                <w:rFonts w:eastAsia="Calibri"/>
                <w:sz w:val="16"/>
                <w:szCs w:val="16"/>
                <w:lang w:eastAsia="en-US"/>
              </w:rPr>
            </w:pPr>
            <w:r w:rsidRPr="005F5522">
              <w:rPr>
                <w:rFonts w:eastAsia="Calibri"/>
                <w:sz w:val="16"/>
                <w:szCs w:val="16"/>
                <w:lang w:eastAsia="en-US"/>
              </w:rPr>
              <w:t>5,88%</w:t>
            </w:r>
          </w:p>
        </w:tc>
        <w:tc>
          <w:tcPr>
            <w:tcW w:w="0" w:type="auto"/>
            <w:tcBorders>
              <w:left w:val="single" w:sz="4" w:space="0" w:color="auto"/>
              <w:bottom w:val="single" w:sz="4" w:space="0" w:color="auto"/>
              <w:right w:val="single" w:sz="4" w:space="0" w:color="auto"/>
            </w:tcBorders>
            <w:tcMar>
              <w:top w:w="0" w:type="dxa"/>
              <w:left w:w="71" w:type="dxa"/>
              <w:bottom w:w="0" w:type="dxa"/>
              <w:right w:w="71" w:type="dxa"/>
            </w:tcMar>
            <w:hideMark/>
          </w:tcPr>
          <w:p w:rsidR="005F5522" w:rsidRPr="005F5522" w:rsidRDefault="005F5522" w:rsidP="005F5522">
            <w:pPr>
              <w:jc w:val="right"/>
              <w:rPr>
                <w:rFonts w:eastAsia="Calibri"/>
                <w:sz w:val="16"/>
                <w:szCs w:val="16"/>
                <w:lang w:eastAsia="en-US"/>
              </w:rPr>
            </w:pPr>
            <w:r w:rsidRPr="005F5522">
              <w:rPr>
                <w:rFonts w:eastAsia="Calibri"/>
                <w:sz w:val="16"/>
                <w:szCs w:val="16"/>
                <w:lang w:eastAsia="en-US"/>
              </w:rPr>
              <w:t>9,61%</w:t>
            </w:r>
          </w:p>
        </w:tc>
        <w:tc>
          <w:tcPr>
            <w:tcW w:w="0" w:type="auto"/>
            <w:tcBorders>
              <w:left w:val="single" w:sz="4" w:space="0" w:color="auto"/>
              <w:bottom w:val="single" w:sz="4" w:space="0" w:color="auto"/>
              <w:right w:val="single" w:sz="4" w:space="0" w:color="auto"/>
            </w:tcBorders>
            <w:tcMar>
              <w:top w:w="0" w:type="dxa"/>
              <w:left w:w="71" w:type="dxa"/>
              <w:bottom w:w="0" w:type="dxa"/>
              <w:right w:w="71" w:type="dxa"/>
            </w:tcMar>
            <w:hideMark/>
          </w:tcPr>
          <w:p w:rsidR="005F5522" w:rsidRPr="005F5522" w:rsidRDefault="005F5522" w:rsidP="005F5522">
            <w:pPr>
              <w:jc w:val="right"/>
              <w:rPr>
                <w:rFonts w:eastAsia="Calibri"/>
                <w:sz w:val="16"/>
                <w:szCs w:val="16"/>
                <w:lang w:eastAsia="en-US"/>
              </w:rPr>
            </w:pPr>
            <w:r w:rsidRPr="005F5522">
              <w:rPr>
                <w:rFonts w:eastAsia="Calibri"/>
                <w:sz w:val="16"/>
                <w:szCs w:val="16"/>
                <w:lang w:eastAsia="en-US"/>
              </w:rPr>
              <w:t>15,67%</w:t>
            </w:r>
          </w:p>
        </w:tc>
        <w:tc>
          <w:tcPr>
            <w:tcW w:w="800" w:type="dxa"/>
            <w:tcBorders>
              <w:left w:val="single" w:sz="4" w:space="0" w:color="auto"/>
              <w:bottom w:val="single" w:sz="4" w:space="0" w:color="auto"/>
              <w:right w:val="single" w:sz="4" w:space="0" w:color="auto"/>
            </w:tcBorders>
            <w:tcMar>
              <w:top w:w="0" w:type="dxa"/>
              <w:left w:w="71" w:type="dxa"/>
              <w:bottom w:w="0" w:type="dxa"/>
              <w:right w:w="71" w:type="dxa"/>
            </w:tcMar>
            <w:hideMark/>
          </w:tcPr>
          <w:p w:rsidR="005F5522" w:rsidRPr="005F5522" w:rsidRDefault="005F5522" w:rsidP="005F5522">
            <w:pPr>
              <w:jc w:val="right"/>
              <w:rPr>
                <w:rFonts w:eastAsia="Calibri"/>
                <w:sz w:val="16"/>
                <w:szCs w:val="16"/>
                <w:lang w:eastAsia="en-US"/>
              </w:rPr>
            </w:pPr>
            <w:r w:rsidRPr="005F5522">
              <w:rPr>
                <w:rFonts w:eastAsia="Calibri"/>
                <w:sz w:val="16"/>
                <w:szCs w:val="16"/>
                <w:lang w:eastAsia="en-US"/>
              </w:rPr>
              <w:t>12,59%</w:t>
            </w:r>
          </w:p>
        </w:tc>
        <w:tc>
          <w:tcPr>
            <w:tcW w:w="750" w:type="dxa"/>
            <w:tcBorders>
              <w:left w:val="single" w:sz="4" w:space="0" w:color="auto"/>
              <w:bottom w:val="single" w:sz="4" w:space="0" w:color="auto"/>
              <w:right w:val="single" w:sz="4" w:space="0" w:color="auto"/>
            </w:tcBorders>
            <w:tcMar>
              <w:top w:w="0" w:type="dxa"/>
              <w:left w:w="71" w:type="dxa"/>
              <w:bottom w:w="0" w:type="dxa"/>
              <w:right w:w="71" w:type="dxa"/>
            </w:tcMar>
            <w:hideMark/>
          </w:tcPr>
          <w:p w:rsidR="005F5522" w:rsidRPr="005F5522" w:rsidRDefault="005F5522" w:rsidP="005F5522">
            <w:pPr>
              <w:jc w:val="right"/>
              <w:rPr>
                <w:rFonts w:eastAsia="Calibri"/>
                <w:sz w:val="16"/>
                <w:szCs w:val="16"/>
                <w:lang w:eastAsia="en-US"/>
              </w:rPr>
            </w:pPr>
            <w:r w:rsidRPr="005F5522">
              <w:rPr>
                <w:rFonts w:eastAsia="Calibri"/>
                <w:sz w:val="16"/>
                <w:szCs w:val="16"/>
                <w:lang w:eastAsia="en-US"/>
              </w:rPr>
              <w:t>13,74%</w:t>
            </w:r>
          </w:p>
        </w:tc>
        <w:tc>
          <w:tcPr>
            <w:tcW w:w="0" w:type="auto"/>
            <w:tcBorders>
              <w:left w:val="single" w:sz="4" w:space="0" w:color="auto"/>
              <w:bottom w:val="single" w:sz="4" w:space="0" w:color="auto"/>
              <w:right w:val="single" w:sz="4" w:space="0" w:color="auto"/>
            </w:tcBorders>
            <w:tcMar>
              <w:top w:w="0" w:type="dxa"/>
              <w:left w:w="71" w:type="dxa"/>
              <w:bottom w:w="0" w:type="dxa"/>
              <w:right w:w="71" w:type="dxa"/>
            </w:tcMar>
            <w:hideMark/>
          </w:tcPr>
          <w:p w:rsidR="005F5522" w:rsidRPr="005F5522" w:rsidRDefault="005F5522" w:rsidP="005F5522">
            <w:pPr>
              <w:jc w:val="right"/>
              <w:rPr>
                <w:rFonts w:eastAsia="Calibri"/>
                <w:sz w:val="16"/>
                <w:szCs w:val="16"/>
                <w:lang w:eastAsia="en-US"/>
              </w:rPr>
            </w:pPr>
            <w:r w:rsidRPr="005F5522">
              <w:rPr>
                <w:rFonts w:eastAsia="Calibri"/>
                <w:sz w:val="16"/>
                <w:szCs w:val="16"/>
                <w:lang w:eastAsia="en-US"/>
              </w:rPr>
              <w:t>12,98%</w:t>
            </w:r>
          </w:p>
        </w:tc>
        <w:tc>
          <w:tcPr>
            <w:tcW w:w="734" w:type="dxa"/>
            <w:gridSpan w:val="2"/>
            <w:tcBorders>
              <w:left w:val="single" w:sz="4" w:space="0" w:color="auto"/>
              <w:bottom w:val="single" w:sz="4" w:space="0" w:color="auto"/>
              <w:right w:val="single" w:sz="4" w:space="0" w:color="auto"/>
            </w:tcBorders>
          </w:tcPr>
          <w:p w:rsidR="005F5522" w:rsidRPr="005F5522" w:rsidRDefault="005F5522" w:rsidP="005F5522">
            <w:pPr>
              <w:jc w:val="right"/>
              <w:rPr>
                <w:rFonts w:eastAsia="Calibri"/>
                <w:sz w:val="16"/>
                <w:szCs w:val="16"/>
                <w:lang w:eastAsia="en-US"/>
              </w:rPr>
            </w:pPr>
            <w:r w:rsidRPr="005F5522">
              <w:rPr>
                <w:rFonts w:eastAsia="Calibri"/>
                <w:sz w:val="16"/>
                <w:szCs w:val="16"/>
                <w:lang w:eastAsia="en-US"/>
              </w:rPr>
              <w:t>12,98%</w:t>
            </w:r>
          </w:p>
        </w:tc>
      </w:tr>
      <w:tr w:rsidR="005F5522" w:rsidRPr="005F5522" w:rsidTr="005518DF">
        <w:tc>
          <w:tcPr>
            <w:tcW w:w="0" w:type="auto"/>
            <w:tcBorders>
              <w:top w:val="single" w:sz="4" w:space="0" w:color="auto"/>
              <w:left w:val="single" w:sz="2" w:space="0" w:color="auto"/>
              <w:bottom w:val="single" w:sz="6" w:space="0" w:color="auto"/>
              <w:right w:val="single" w:sz="2" w:space="0" w:color="auto"/>
            </w:tcBorders>
            <w:tcMar>
              <w:top w:w="0" w:type="dxa"/>
              <w:left w:w="71" w:type="dxa"/>
              <w:bottom w:w="0" w:type="dxa"/>
              <w:right w:w="71" w:type="dxa"/>
            </w:tcMar>
            <w:vAlign w:val="center"/>
            <w:hideMark/>
          </w:tcPr>
          <w:p w:rsidR="005F5522" w:rsidRPr="005F5522" w:rsidRDefault="005F5522" w:rsidP="005F5522">
            <w:pPr>
              <w:rPr>
                <w:rFonts w:eastAsia="Calibri"/>
                <w:b/>
                <w:bCs/>
                <w:sz w:val="16"/>
                <w:szCs w:val="16"/>
              </w:rPr>
            </w:pPr>
            <w:r w:rsidRPr="005F5522">
              <w:rPr>
                <w:rFonts w:eastAsia="Calibri"/>
                <w:b/>
                <w:bCs/>
                <w:sz w:val="16"/>
                <w:szCs w:val="16"/>
              </w:rPr>
              <w:t>Var. % vs. anno precedente</w:t>
            </w:r>
          </w:p>
        </w:tc>
        <w:tc>
          <w:tcPr>
            <w:tcW w:w="0" w:type="auto"/>
            <w:tcBorders>
              <w:top w:val="single" w:sz="4" w:space="0" w:color="auto"/>
              <w:left w:val="single" w:sz="2" w:space="0" w:color="auto"/>
              <w:bottom w:val="single" w:sz="6" w:space="0" w:color="auto"/>
              <w:right w:val="single" w:sz="2" w:space="0" w:color="auto"/>
            </w:tcBorders>
            <w:tcMar>
              <w:top w:w="0" w:type="dxa"/>
              <w:left w:w="71" w:type="dxa"/>
              <w:bottom w:w="0" w:type="dxa"/>
              <w:right w:w="71" w:type="dxa"/>
            </w:tcMar>
            <w:hideMark/>
          </w:tcPr>
          <w:p w:rsidR="005F5522" w:rsidRPr="005F5522" w:rsidRDefault="005F5522" w:rsidP="005F5522">
            <w:pPr>
              <w:jc w:val="right"/>
              <w:rPr>
                <w:rFonts w:eastAsia="Calibri"/>
                <w:sz w:val="16"/>
                <w:szCs w:val="16"/>
                <w:lang w:eastAsia="en-US"/>
              </w:rPr>
            </w:pPr>
          </w:p>
        </w:tc>
        <w:tc>
          <w:tcPr>
            <w:tcW w:w="0" w:type="auto"/>
            <w:tcBorders>
              <w:top w:val="single" w:sz="4" w:space="0" w:color="auto"/>
              <w:left w:val="single" w:sz="2" w:space="0" w:color="auto"/>
              <w:bottom w:val="single" w:sz="6" w:space="0" w:color="auto"/>
              <w:right w:val="single" w:sz="2" w:space="0" w:color="auto"/>
            </w:tcBorders>
            <w:tcMar>
              <w:top w:w="0" w:type="dxa"/>
              <w:left w:w="71" w:type="dxa"/>
              <w:bottom w:w="0" w:type="dxa"/>
              <w:right w:w="71" w:type="dxa"/>
            </w:tcMar>
            <w:hideMark/>
          </w:tcPr>
          <w:p w:rsidR="005F5522" w:rsidRPr="005F5522" w:rsidRDefault="005F5522" w:rsidP="005F5522">
            <w:pPr>
              <w:jc w:val="right"/>
              <w:rPr>
                <w:rFonts w:eastAsia="Calibri"/>
                <w:sz w:val="16"/>
                <w:szCs w:val="16"/>
                <w:lang w:eastAsia="en-US"/>
              </w:rPr>
            </w:pPr>
            <w:r w:rsidRPr="005F5522">
              <w:rPr>
                <w:rFonts w:eastAsia="Calibri"/>
                <w:sz w:val="16"/>
                <w:szCs w:val="16"/>
                <w:lang w:eastAsia="en-US"/>
              </w:rPr>
              <w:t>5,88%</w:t>
            </w:r>
          </w:p>
        </w:tc>
        <w:tc>
          <w:tcPr>
            <w:tcW w:w="0" w:type="auto"/>
            <w:tcBorders>
              <w:top w:val="single" w:sz="4" w:space="0" w:color="auto"/>
              <w:left w:val="single" w:sz="2" w:space="0" w:color="auto"/>
              <w:bottom w:val="single" w:sz="6" w:space="0" w:color="auto"/>
              <w:right w:val="single" w:sz="2" w:space="0" w:color="auto"/>
            </w:tcBorders>
            <w:tcMar>
              <w:top w:w="0" w:type="dxa"/>
              <w:left w:w="71" w:type="dxa"/>
              <w:bottom w:w="0" w:type="dxa"/>
              <w:right w:w="71" w:type="dxa"/>
            </w:tcMar>
            <w:hideMark/>
          </w:tcPr>
          <w:p w:rsidR="005F5522" w:rsidRPr="005F5522" w:rsidRDefault="005F5522" w:rsidP="005F5522">
            <w:pPr>
              <w:jc w:val="right"/>
              <w:rPr>
                <w:rFonts w:eastAsia="Calibri"/>
                <w:sz w:val="16"/>
                <w:szCs w:val="16"/>
                <w:lang w:eastAsia="en-US"/>
              </w:rPr>
            </w:pPr>
            <w:r w:rsidRPr="005F5522">
              <w:rPr>
                <w:rFonts w:eastAsia="Calibri"/>
                <w:sz w:val="16"/>
                <w:szCs w:val="16"/>
                <w:lang w:eastAsia="en-US"/>
              </w:rPr>
              <w:t>3,52%</w:t>
            </w:r>
          </w:p>
        </w:tc>
        <w:tc>
          <w:tcPr>
            <w:tcW w:w="0" w:type="auto"/>
            <w:tcBorders>
              <w:top w:val="single" w:sz="4" w:space="0" w:color="auto"/>
              <w:left w:val="single" w:sz="2" w:space="0" w:color="auto"/>
              <w:bottom w:val="single" w:sz="6" w:space="0" w:color="auto"/>
              <w:right w:val="single" w:sz="2" w:space="0" w:color="auto"/>
            </w:tcBorders>
            <w:tcMar>
              <w:top w:w="0" w:type="dxa"/>
              <w:left w:w="71" w:type="dxa"/>
              <w:bottom w:w="0" w:type="dxa"/>
              <w:right w:w="71" w:type="dxa"/>
            </w:tcMar>
            <w:hideMark/>
          </w:tcPr>
          <w:p w:rsidR="005F5522" w:rsidRPr="005F5522" w:rsidRDefault="005F5522" w:rsidP="005F5522">
            <w:pPr>
              <w:jc w:val="right"/>
              <w:rPr>
                <w:rFonts w:eastAsia="Calibri"/>
                <w:sz w:val="16"/>
                <w:szCs w:val="16"/>
                <w:lang w:eastAsia="en-US"/>
              </w:rPr>
            </w:pPr>
            <w:r w:rsidRPr="005F5522">
              <w:rPr>
                <w:rFonts w:eastAsia="Calibri"/>
                <w:sz w:val="16"/>
                <w:szCs w:val="16"/>
                <w:lang w:eastAsia="en-US"/>
              </w:rPr>
              <w:t>5,53%</w:t>
            </w:r>
          </w:p>
        </w:tc>
        <w:tc>
          <w:tcPr>
            <w:tcW w:w="800" w:type="dxa"/>
            <w:tcBorders>
              <w:top w:val="single" w:sz="4" w:space="0" w:color="auto"/>
              <w:left w:val="single" w:sz="2" w:space="0" w:color="auto"/>
              <w:bottom w:val="single" w:sz="6" w:space="0" w:color="auto"/>
              <w:right w:val="single" w:sz="2" w:space="0" w:color="auto"/>
            </w:tcBorders>
            <w:tcMar>
              <w:top w:w="0" w:type="dxa"/>
              <w:left w:w="71" w:type="dxa"/>
              <w:bottom w:w="0" w:type="dxa"/>
              <w:right w:w="71" w:type="dxa"/>
            </w:tcMar>
            <w:hideMark/>
          </w:tcPr>
          <w:p w:rsidR="005F5522" w:rsidRPr="005F5522" w:rsidRDefault="005F5522" w:rsidP="005F5522">
            <w:pPr>
              <w:jc w:val="right"/>
              <w:rPr>
                <w:rFonts w:eastAsia="Calibri"/>
                <w:sz w:val="16"/>
                <w:szCs w:val="16"/>
                <w:lang w:eastAsia="en-US"/>
              </w:rPr>
            </w:pPr>
            <w:r w:rsidRPr="005F5522">
              <w:rPr>
                <w:rFonts w:eastAsia="Calibri"/>
                <w:sz w:val="16"/>
                <w:szCs w:val="16"/>
                <w:lang w:eastAsia="en-US"/>
              </w:rPr>
              <w:t>-2,66%</w:t>
            </w:r>
          </w:p>
        </w:tc>
        <w:tc>
          <w:tcPr>
            <w:tcW w:w="750" w:type="dxa"/>
            <w:tcBorders>
              <w:top w:val="single" w:sz="4" w:space="0" w:color="auto"/>
              <w:left w:val="single" w:sz="2" w:space="0" w:color="auto"/>
              <w:bottom w:val="single" w:sz="6" w:space="0" w:color="auto"/>
              <w:right w:val="single" w:sz="2" w:space="0" w:color="auto"/>
            </w:tcBorders>
            <w:tcMar>
              <w:top w:w="0" w:type="dxa"/>
              <w:left w:w="71" w:type="dxa"/>
              <w:bottom w:w="0" w:type="dxa"/>
              <w:right w:w="71" w:type="dxa"/>
            </w:tcMar>
            <w:hideMark/>
          </w:tcPr>
          <w:p w:rsidR="005F5522" w:rsidRPr="005F5522" w:rsidRDefault="005F5522" w:rsidP="005F5522">
            <w:pPr>
              <w:jc w:val="right"/>
              <w:rPr>
                <w:rFonts w:eastAsia="Calibri"/>
                <w:sz w:val="16"/>
                <w:szCs w:val="16"/>
                <w:lang w:eastAsia="en-US"/>
              </w:rPr>
            </w:pPr>
            <w:r w:rsidRPr="005F5522">
              <w:rPr>
                <w:rFonts w:eastAsia="Calibri"/>
                <w:sz w:val="16"/>
                <w:szCs w:val="16"/>
                <w:lang w:eastAsia="en-US"/>
              </w:rPr>
              <w:t>1,02%</w:t>
            </w:r>
          </w:p>
        </w:tc>
        <w:tc>
          <w:tcPr>
            <w:tcW w:w="0" w:type="auto"/>
            <w:tcBorders>
              <w:top w:val="single" w:sz="4" w:space="0" w:color="auto"/>
              <w:left w:val="single" w:sz="2" w:space="0" w:color="auto"/>
              <w:bottom w:val="single" w:sz="6" w:space="0" w:color="auto"/>
              <w:right w:val="single" w:sz="4" w:space="0" w:color="auto"/>
            </w:tcBorders>
            <w:tcMar>
              <w:top w:w="0" w:type="dxa"/>
              <w:left w:w="71" w:type="dxa"/>
              <w:bottom w:w="0" w:type="dxa"/>
              <w:right w:w="71" w:type="dxa"/>
            </w:tcMar>
            <w:hideMark/>
          </w:tcPr>
          <w:p w:rsidR="005F5522" w:rsidRPr="005F5522" w:rsidRDefault="005F5522" w:rsidP="005F5522">
            <w:pPr>
              <w:jc w:val="right"/>
              <w:rPr>
                <w:rFonts w:eastAsia="Calibri"/>
                <w:sz w:val="16"/>
                <w:szCs w:val="16"/>
                <w:lang w:eastAsia="en-US"/>
              </w:rPr>
            </w:pPr>
            <w:r w:rsidRPr="005F5522">
              <w:rPr>
                <w:rFonts w:eastAsia="Calibri"/>
                <w:sz w:val="16"/>
                <w:szCs w:val="16"/>
                <w:lang w:eastAsia="en-US"/>
              </w:rPr>
              <w:t>-0,67%</w:t>
            </w:r>
          </w:p>
        </w:tc>
        <w:tc>
          <w:tcPr>
            <w:tcW w:w="734" w:type="dxa"/>
            <w:gridSpan w:val="2"/>
            <w:tcBorders>
              <w:top w:val="single" w:sz="4" w:space="0" w:color="auto"/>
              <w:left w:val="single" w:sz="4" w:space="0" w:color="auto"/>
              <w:bottom w:val="single" w:sz="4" w:space="0" w:color="auto"/>
              <w:right w:val="single" w:sz="4" w:space="0" w:color="auto"/>
            </w:tcBorders>
          </w:tcPr>
          <w:p w:rsidR="005F5522" w:rsidRPr="005F5522" w:rsidRDefault="005F5522" w:rsidP="005F5522">
            <w:pPr>
              <w:jc w:val="right"/>
              <w:rPr>
                <w:rFonts w:eastAsia="Calibri"/>
                <w:sz w:val="16"/>
                <w:szCs w:val="16"/>
                <w:lang w:eastAsia="en-US"/>
              </w:rPr>
            </w:pPr>
            <w:r w:rsidRPr="005F5522">
              <w:rPr>
                <w:rFonts w:eastAsia="Calibri"/>
                <w:sz w:val="16"/>
                <w:szCs w:val="16"/>
                <w:lang w:eastAsia="en-US"/>
              </w:rPr>
              <w:t>0,00%</w:t>
            </w:r>
          </w:p>
        </w:tc>
      </w:tr>
      <w:tr w:rsidR="005F5522" w:rsidRPr="005F5522" w:rsidTr="005518DF">
        <w:trPr>
          <w:trHeight w:val="203"/>
        </w:trPr>
        <w:tc>
          <w:tcPr>
            <w:tcW w:w="0" w:type="auto"/>
            <w:gridSpan w:val="2"/>
            <w:tcMar>
              <w:top w:w="0" w:type="dxa"/>
              <w:left w:w="71" w:type="dxa"/>
              <w:bottom w:w="0" w:type="dxa"/>
              <w:right w:w="71" w:type="dxa"/>
            </w:tcMar>
            <w:vAlign w:val="bottom"/>
            <w:hideMark/>
          </w:tcPr>
          <w:p w:rsidR="005F5522" w:rsidRPr="005F5522" w:rsidRDefault="005F5522" w:rsidP="005F5522">
            <w:pPr>
              <w:rPr>
                <w:rFonts w:ascii="Calibri" w:eastAsia="Calibri" w:hAnsi="Calibri"/>
                <w:sz w:val="12"/>
                <w:szCs w:val="12"/>
              </w:rPr>
            </w:pPr>
            <w:r w:rsidRPr="005F5522">
              <w:rPr>
                <w:rFonts w:ascii="Calibri" w:eastAsia="Calibri" w:hAnsi="Calibri"/>
                <w:i/>
                <w:iCs/>
                <w:sz w:val="12"/>
                <w:szCs w:val="12"/>
              </w:rPr>
              <w:t>Fonte: Conti consuntivi del Politecnico di Bari, anni vari</w:t>
            </w:r>
          </w:p>
        </w:tc>
        <w:tc>
          <w:tcPr>
            <w:tcW w:w="0" w:type="auto"/>
            <w:tcMar>
              <w:top w:w="0" w:type="dxa"/>
              <w:left w:w="71" w:type="dxa"/>
              <w:bottom w:w="0" w:type="dxa"/>
              <w:right w:w="71" w:type="dxa"/>
            </w:tcMar>
            <w:vAlign w:val="bottom"/>
            <w:hideMark/>
          </w:tcPr>
          <w:p w:rsidR="005F5522" w:rsidRPr="005F5522" w:rsidRDefault="005F5522" w:rsidP="005F5522">
            <w:pPr>
              <w:rPr>
                <w:rFonts w:ascii="Calibri" w:eastAsia="Calibri" w:hAnsi="Calibri"/>
                <w:sz w:val="17"/>
                <w:szCs w:val="17"/>
              </w:rPr>
            </w:pPr>
          </w:p>
        </w:tc>
        <w:tc>
          <w:tcPr>
            <w:tcW w:w="0" w:type="auto"/>
            <w:tcMar>
              <w:top w:w="0" w:type="dxa"/>
              <w:left w:w="71" w:type="dxa"/>
              <w:bottom w:w="0" w:type="dxa"/>
              <w:right w:w="71" w:type="dxa"/>
            </w:tcMar>
            <w:vAlign w:val="bottom"/>
            <w:hideMark/>
          </w:tcPr>
          <w:p w:rsidR="005F5522" w:rsidRPr="005F5522" w:rsidRDefault="005F5522" w:rsidP="005F5522">
            <w:pPr>
              <w:rPr>
                <w:rFonts w:ascii="Calibri" w:eastAsia="Calibri" w:hAnsi="Calibri"/>
                <w:sz w:val="17"/>
                <w:szCs w:val="17"/>
              </w:rPr>
            </w:pPr>
          </w:p>
        </w:tc>
        <w:tc>
          <w:tcPr>
            <w:tcW w:w="0" w:type="auto"/>
            <w:tcMar>
              <w:top w:w="0" w:type="dxa"/>
              <w:left w:w="71" w:type="dxa"/>
              <w:bottom w:w="0" w:type="dxa"/>
              <w:right w:w="71" w:type="dxa"/>
            </w:tcMar>
            <w:vAlign w:val="bottom"/>
            <w:hideMark/>
          </w:tcPr>
          <w:p w:rsidR="005F5522" w:rsidRPr="005F5522" w:rsidRDefault="005F5522" w:rsidP="005F5522">
            <w:pPr>
              <w:rPr>
                <w:rFonts w:ascii="Calibri" w:eastAsia="Calibri" w:hAnsi="Calibri"/>
                <w:sz w:val="17"/>
                <w:szCs w:val="17"/>
              </w:rPr>
            </w:pPr>
          </w:p>
        </w:tc>
        <w:tc>
          <w:tcPr>
            <w:tcW w:w="800" w:type="dxa"/>
            <w:tcMar>
              <w:top w:w="0" w:type="dxa"/>
              <w:left w:w="71" w:type="dxa"/>
              <w:bottom w:w="0" w:type="dxa"/>
              <w:right w:w="71" w:type="dxa"/>
            </w:tcMar>
            <w:vAlign w:val="bottom"/>
            <w:hideMark/>
          </w:tcPr>
          <w:p w:rsidR="005F5522" w:rsidRPr="005F5522" w:rsidRDefault="005F5522" w:rsidP="005F5522">
            <w:pPr>
              <w:rPr>
                <w:rFonts w:ascii="Calibri" w:eastAsia="Calibri" w:hAnsi="Calibri"/>
                <w:sz w:val="17"/>
                <w:szCs w:val="17"/>
              </w:rPr>
            </w:pPr>
          </w:p>
        </w:tc>
        <w:tc>
          <w:tcPr>
            <w:tcW w:w="750" w:type="dxa"/>
            <w:tcMar>
              <w:top w:w="0" w:type="dxa"/>
              <w:left w:w="71" w:type="dxa"/>
              <w:bottom w:w="0" w:type="dxa"/>
              <w:right w:w="71" w:type="dxa"/>
            </w:tcMar>
            <w:vAlign w:val="bottom"/>
            <w:hideMark/>
          </w:tcPr>
          <w:p w:rsidR="005F5522" w:rsidRPr="005F5522" w:rsidRDefault="005F5522" w:rsidP="005F5522">
            <w:pPr>
              <w:rPr>
                <w:rFonts w:ascii="Calibri" w:eastAsia="Calibri" w:hAnsi="Calibri"/>
                <w:sz w:val="17"/>
                <w:szCs w:val="17"/>
              </w:rPr>
            </w:pPr>
          </w:p>
        </w:tc>
        <w:tc>
          <w:tcPr>
            <w:tcW w:w="0" w:type="auto"/>
            <w:tcMar>
              <w:top w:w="0" w:type="dxa"/>
              <w:left w:w="71" w:type="dxa"/>
              <w:bottom w:w="0" w:type="dxa"/>
              <w:right w:w="71" w:type="dxa"/>
            </w:tcMar>
            <w:vAlign w:val="bottom"/>
            <w:hideMark/>
          </w:tcPr>
          <w:p w:rsidR="005F5522" w:rsidRPr="005F5522" w:rsidRDefault="005F5522" w:rsidP="005F5522">
            <w:pPr>
              <w:rPr>
                <w:rFonts w:ascii="Calibri" w:eastAsia="Calibri" w:hAnsi="Calibri"/>
                <w:sz w:val="17"/>
                <w:szCs w:val="17"/>
              </w:rPr>
            </w:pPr>
          </w:p>
        </w:tc>
        <w:tc>
          <w:tcPr>
            <w:tcW w:w="0" w:type="auto"/>
            <w:tcBorders>
              <w:top w:val="single" w:sz="4" w:space="0" w:color="auto"/>
            </w:tcBorders>
            <w:tcMar>
              <w:top w:w="0" w:type="dxa"/>
              <w:left w:w="71" w:type="dxa"/>
              <w:bottom w:w="0" w:type="dxa"/>
              <w:right w:w="71" w:type="dxa"/>
            </w:tcMar>
            <w:vAlign w:val="bottom"/>
            <w:hideMark/>
          </w:tcPr>
          <w:p w:rsidR="005F5522" w:rsidRPr="005F5522" w:rsidRDefault="005F5522" w:rsidP="005F5522">
            <w:pPr>
              <w:rPr>
                <w:rFonts w:ascii="Calibri" w:eastAsia="Calibri" w:hAnsi="Calibri"/>
                <w:b/>
                <w:bCs/>
                <w:sz w:val="14"/>
                <w:szCs w:val="14"/>
              </w:rPr>
            </w:pPr>
          </w:p>
        </w:tc>
        <w:tc>
          <w:tcPr>
            <w:tcW w:w="586" w:type="dxa"/>
            <w:tcBorders>
              <w:top w:val="single" w:sz="4" w:space="0" w:color="auto"/>
            </w:tcBorders>
            <w:tcMar>
              <w:top w:w="0" w:type="dxa"/>
              <w:left w:w="71" w:type="dxa"/>
              <w:bottom w:w="0" w:type="dxa"/>
              <w:right w:w="71" w:type="dxa"/>
            </w:tcMar>
            <w:vAlign w:val="bottom"/>
            <w:hideMark/>
          </w:tcPr>
          <w:p w:rsidR="005F5522" w:rsidRPr="005F5522" w:rsidRDefault="005F5522" w:rsidP="005F5522">
            <w:pPr>
              <w:rPr>
                <w:rFonts w:ascii="Calibri" w:eastAsia="Calibri" w:hAnsi="Calibri"/>
                <w:b/>
                <w:bCs/>
                <w:sz w:val="14"/>
                <w:szCs w:val="14"/>
              </w:rPr>
            </w:pPr>
          </w:p>
        </w:tc>
      </w:tr>
    </w:tbl>
    <w:p w:rsidR="005F5522" w:rsidRPr="005F5522" w:rsidRDefault="005F5522" w:rsidP="005F5522">
      <w:pPr>
        <w:rPr>
          <w:rFonts w:ascii="Calibri" w:eastAsia="Calibri" w:hAnsi="Calibri"/>
          <w:b/>
          <w:sz w:val="18"/>
          <w:szCs w:val="18"/>
        </w:rPr>
      </w:pPr>
    </w:p>
    <w:p w:rsidR="00DA4FE2" w:rsidRDefault="00DA4FE2" w:rsidP="005F5522">
      <w:pPr>
        <w:rPr>
          <w:rFonts w:ascii="Calibri" w:eastAsia="Calibri" w:hAnsi="Calibri"/>
          <w:b/>
          <w:sz w:val="18"/>
          <w:szCs w:val="18"/>
        </w:rPr>
      </w:pPr>
    </w:p>
    <w:p w:rsidR="005F5522" w:rsidRPr="00076C41" w:rsidRDefault="00DA4FE2" w:rsidP="001108F0">
      <w:pPr>
        <w:pStyle w:val="Titolo3"/>
        <w:ind w:left="0"/>
        <w:jc w:val="both"/>
        <w:rPr>
          <w:i/>
        </w:rPr>
      </w:pPr>
      <w:bookmarkStart w:id="6" w:name="_Toc469659514"/>
      <w:r w:rsidRPr="00076C41">
        <w:rPr>
          <w:i/>
        </w:rPr>
        <w:t xml:space="preserve">2.1.3 </w:t>
      </w:r>
      <w:r w:rsidR="005F5522" w:rsidRPr="00076C41">
        <w:rPr>
          <w:i/>
        </w:rPr>
        <w:t xml:space="preserve">Programmazione triennale </w:t>
      </w:r>
      <w:r w:rsidR="00222D99" w:rsidRPr="00076C41">
        <w:rPr>
          <w:i/>
        </w:rPr>
        <w:t xml:space="preserve">ministeriale </w:t>
      </w:r>
      <w:r w:rsidR="005F5522" w:rsidRPr="00076C41">
        <w:rPr>
          <w:i/>
        </w:rPr>
        <w:t>2016-2018</w:t>
      </w:r>
      <w:bookmarkEnd w:id="6"/>
    </w:p>
    <w:p w:rsidR="005F5522" w:rsidRPr="005F5522" w:rsidRDefault="005F5522" w:rsidP="005F5522">
      <w:pPr>
        <w:rPr>
          <w:rFonts w:ascii="Calibri" w:eastAsia="Calibri" w:hAnsi="Calibri"/>
          <w:sz w:val="18"/>
          <w:szCs w:val="18"/>
        </w:rPr>
      </w:pPr>
    </w:p>
    <w:p w:rsidR="005F5522" w:rsidRPr="005F5522" w:rsidRDefault="005F5522" w:rsidP="00DA4FE2">
      <w:pPr>
        <w:ind w:firstLine="720"/>
        <w:jc w:val="both"/>
        <w:rPr>
          <w:sz w:val="24"/>
          <w:szCs w:val="24"/>
        </w:rPr>
      </w:pPr>
      <w:r w:rsidRPr="005F5522">
        <w:rPr>
          <w:sz w:val="24"/>
          <w:szCs w:val="24"/>
        </w:rPr>
        <w:t>Il MIUR ha definito nel D.M. n. 635 dell’8 agosto 2016, (pubblicato nella Gazzetta Ufficiale del 22 settembre 2016, n. 222), le linee generali d’indiri</w:t>
      </w:r>
      <w:r w:rsidR="009F0C56">
        <w:rPr>
          <w:sz w:val="24"/>
          <w:szCs w:val="24"/>
        </w:rPr>
        <w:t>zzo della programmazione delle U</w:t>
      </w:r>
      <w:r w:rsidRPr="005F5522">
        <w:rPr>
          <w:sz w:val="24"/>
          <w:szCs w:val="24"/>
        </w:rPr>
        <w:t>niversità per il triennio 2016-2018 e gli indicatori per la valutazione periodica dei risultati (allegati 1 e 2 al DM). In particolare, l’art. 2 del citato decreto ha stabilito che la programmazione del sistema universitario nazionale è finalizzata al raggiungimento dei seguenti quattro obiettivi:</w:t>
      </w:r>
    </w:p>
    <w:p w:rsidR="005F5522" w:rsidRPr="005F5522" w:rsidRDefault="005F5522" w:rsidP="00DA4FE2">
      <w:pPr>
        <w:ind w:firstLine="720"/>
        <w:jc w:val="both"/>
        <w:rPr>
          <w:sz w:val="24"/>
          <w:szCs w:val="24"/>
        </w:rPr>
      </w:pPr>
    </w:p>
    <w:p w:rsidR="005F5522" w:rsidRPr="005F5522" w:rsidRDefault="005F5522" w:rsidP="00DA4FE2">
      <w:pPr>
        <w:ind w:firstLine="720"/>
        <w:jc w:val="both"/>
        <w:rPr>
          <w:sz w:val="24"/>
          <w:szCs w:val="24"/>
        </w:rPr>
      </w:pPr>
      <w:r w:rsidRPr="005F5522">
        <w:rPr>
          <w:sz w:val="24"/>
          <w:szCs w:val="24"/>
        </w:rPr>
        <w:t xml:space="preserve">A - Miglioramento dei risultati conseguiti nella programmazione del triennio 2013 - 2015 su azioni strategiche per il sistema; </w:t>
      </w:r>
    </w:p>
    <w:p w:rsidR="005F5522" w:rsidRPr="005F5522" w:rsidRDefault="005F5522" w:rsidP="00DA4FE2">
      <w:pPr>
        <w:ind w:firstLine="720"/>
        <w:jc w:val="both"/>
        <w:rPr>
          <w:sz w:val="24"/>
          <w:szCs w:val="24"/>
        </w:rPr>
      </w:pPr>
      <w:r w:rsidRPr="005F5522">
        <w:rPr>
          <w:sz w:val="24"/>
          <w:szCs w:val="24"/>
        </w:rPr>
        <w:t xml:space="preserve">B - Modernizzazione degli ambienti di studio e ricerca, innovazione delle metodologie didattiche; </w:t>
      </w:r>
    </w:p>
    <w:p w:rsidR="005F5522" w:rsidRPr="005F5522" w:rsidRDefault="005F5522" w:rsidP="00DA4FE2">
      <w:pPr>
        <w:ind w:firstLine="720"/>
        <w:jc w:val="both"/>
        <w:rPr>
          <w:sz w:val="24"/>
          <w:szCs w:val="24"/>
        </w:rPr>
      </w:pPr>
      <w:r w:rsidRPr="005F5522">
        <w:rPr>
          <w:sz w:val="24"/>
          <w:szCs w:val="24"/>
        </w:rPr>
        <w:t xml:space="preserve">C - Giovani ricercatori e premi per merito ai docenti; </w:t>
      </w:r>
    </w:p>
    <w:p w:rsidR="005F5522" w:rsidRPr="005F5522" w:rsidRDefault="005F5522" w:rsidP="00DA4FE2">
      <w:pPr>
        <w:ind w:firstLine="720"/>
        <w:jc w:val="both"/>
        <w:rPr>
          <w:sz w:val="24"/>
          <w:szCs w:val="24"/>
        </w:rPr>
      </w:pPr>
      <w:r w:rsidRPr="005F5522">
        <w:rPr>
          <w:sz w:val="24"/>
          <w:szCs w:val="24"/>
        </w:rPr>
        <w:t>D - Valorizzazione dell'autonomia responsabile degli Atenei.</w:t>
      </w:r>
    </w:p>
    <w:p w:rsidR="005F5522" w:rsidRPr="005F5522" w:rsidRDefault="005F5522" w:rsidP="00DA4FE2">
      <w:pPr>
        <w:ind w:firstLine="720"/>
        <w:jc w:val="both"/>
        <w:rPr>
          <w:sz w:val="24"/>
          <w:szCs w:val="24"/>
        </w:rPr>
      </w:pPr>
    </w:p>
    <w:p w:rsidR="005F5522" w:rsidRPr="005F5522" w:rsidRDefault="005F5522" w:rsidP="00DA4FE2">
      <w:pPr>
        <w:ind w:firstLine="720"/>
        <w:jc w:val="both"/>
        <w:rPr>
          <w:sz w:val="24"/>
          <w:szCs w:val="24"/>
        </w:rPr>
      </w:pPr>
      <w:r w:rsidRPr="005F5522">
        <w:rPr>
          <w:sz w:val="24"/>
          <w:szCs w:val="24"/>
        </w:rPr>
        <w:t>Ciascuna Università statale può concorrere al massimo a due obiettivi (tra A, B e C) e l’ammontare massimo di risorse attribuibili a ciascuna Università non può superare il 2,5% di quanto attribuito a valere sul Fondo di finanziamento ordinario dell’anno 2015</w:t>
      </w:r>
      <w:r w:rsidR="00470DEF">
        <w:rPr>
          <w:sz w:val="24"/>
          <w:szCs w:val="24"/>
        </w:rPr>
        <w:t>. Per il Politecnico si tratta di un ammontare pari a</w:t>
      </w:r>
      <w:r w:rsidRPr="005F5522">
        <w:rPr>
          <w:sz w:val="24"/>
          <w:szCs w:val="24"/>
        </w:rPr>
        <w:t xml:space="preserve"> € 983.670,00.</w:t>
      </w:r>
    </w:p>
    <w:p w:rsidR="00873AB3" w:rsidRDefault="00873AB3" w:rsidP="00DA4FE2">
      <w:pPr>
        <w:ind w:firstLine="720"/>
        <w:jc w:val="both"/>
        <w:rPr>
          <w:sz w:val="24"/>
          <w:szCs w:val="24"/>
        </w:rPr>
      </w:pPr>
      <w:r>
        <w:rPr>
          <w:sz w:val="24"/>
          <w:szCs w:val="24"/>
        </w:rPr>
        <w:t>C</w:t>
      </w:r>
      <w:r w:rsidR="00CC36DD">
        <w:rPr>
          <w:sz w:val="24"/>
          <w:szCs w:val="24"/>
        </w:rPr>
        <w:t xml:space="preserve">iascun Ateneo </w:t>
      </w:r>
      <w:r>
        <w:rPr>
          <w:sz w:val="24"/>
          <w:szCs w:val="24"/>
        </w:rPr>
        <w:t>vedrà corrisposta dal Ministero un’assegnazione provvisoria equivalente a</w:t>
      </w:r>
      <w:r w:rsidRPr="005F5522">
        <w:rPr>
          <w:sz w:val="24"/>
          <w:szCs w:val="24"/>
        </w:rPr>
        <w:t xml:space="preserve">ll’intero importo </w:t>
      </w:r>
      <w:r>
        <w:rPr>
          <w:sz w:val="24"/>
          <w:szCs w:val="24"/>
        </w:rPr>
        <w:t>triennale, p</w:t>
      </w:r>
      <w:r w:rsidR="005F5522" w:rsidRPr="005F5522">
        <w:rPr>
          <w:sz w:val="24"/>
          <w:szCs w:val="24"/>
        </w:rPr>
        <w:t>er i progetti valutati positivamente e amm</w:t>
      </w:r>
      <w:r>
        <w:rPr>
          <w:sz w:val="24"/>
          <w:szCs w:val="24"/>
        </w:rPr>
        <w:t>essi a finanziamento.</w:t>
      </w:r>
    </w:p>
    <w:p w:rsidR="005F5522" w:rsidRPr="005F5522" w:rsidRDefault="00CC36DD" w:rsidP="00DA4FE2">
      <w:pPr>
        <w:ind w:firstLine="720"/>
        <w:jc w:val="both"/>
        <w:rPr>
          <w:sz w:val="24"/>
          <w:szCs w:val="24"/>
        </w:rPr>
      </w:pPr>
      <w:r>
        <w:rPr>
          <w:sz w:val="24"/>
          <w:szCs w:val="24"/>
        </w:rPr>
        <w:t xml:space="preserve">Tale </w:t>
      </w:r>
      <w:r w:rsidR="005F5522" w:rsidRPr="005F5522">
        <w:rPr>
          <w:sz w:val="24"/>
          <w:szCs w:val="24"/>
        </w:rPr>
        <w:t xml:space="preserve">assegnazione </w:t>
      </w:r>
      <w:r>
        <w:rPr>
          <w:sz w:val="24"/>
          <w:szCs w:val="24"/>
        </w:rPr>
        <w:t xml:space="preserve">sarà da considerarsi </w:t>
      </w:r>
      <w:r w:rsidR="00BD6426">
        <w:rPr>
          <w:sz w:val="24"/>
          <w:szCs w:val="24"/>
        </w:rPr>
        <w:t>definitiva</w:t>
      </w:r>
      <w:r>
        <w:rPr>
          <w:sz w:val="24"/>
          <w:szCs w:val="24"/>
        </w:rPr>
        <w:t xml:space="preserve"> al termine del triennio, in</w:t>
      </w:r>
      <w:r w:rsidR="00F93DA4">
        <w:rPr>
          <w:sz w:val="24"/>
          <w:szCs w:val="24"/>
        </w:rPr>
        <w:t xml:space="preserve"> caso di </w:t>
      </w:r>
      <w:r>
        <w:rPr>
          <w:sz w:val="24"/>
          <w:szCs w:val="24"/>
        </w:rPr>
        <w:t xml:space="preserve">pieno </w:t>
      </w:r>
      <w:r w:rsidR="005518DF">
        <w:rPr>
          <w:sz w:val="24"/>
          <w:szCs w:val="24"/>
        </w:rPr>
        <w:t xml:space="preserve">raggiungimento dei </w:t>
      </w:r>
      <w:r w:rsidR="005518DF" w:rsidRPr="005518DF">
        <w:rPr>
          <w:i/>
          <w:sz w:val="24"/>
          <w:szCs w:val="24"/>
        </w:rPr>
        <w:t>target</w:t>
      </w:r>
      <w:r w:rsidR="00F93DA4">
        <w:rPr>
          <w:sz w:val="24"/>
          <w:szCs w:val="24"/>
        </w:rPr>
        <w:t xml:space="preserve"> </w:t>
      </w:r>
      <w:r>
        <w:rPr>
          <w:sz w:val="24"/>
          <w:szCs w:val="24"/>
        </w:rPr>
        <w:t>prefissati</w:t>
      </w:r>
      <w:r w:rsidR="005F5522" w:rsidRPr="005F5522">
        <w:rPr>
          <w:sz w:val="24"/>
          <w:szCs w:val="24"/>
        </w:rPr>
        <w:t xml:space="preserve">, </w:t>
      </w:r>
      <w:r w:rsidR="00BD6426">
        <w:rPr>
          <w:sz w:val="24"/>
          <w:szCs w:val="24"/>
        </w:rPr>
        <w:t>altrimenti si provvederà a</w:t>
      </w:r>
      <w:r w:rsidR="005F5522" w:rsidRPr="005F5522">
        <w:rPr>
          <w:sz w:val="24"/>
          <w:szCs w:val="24"/>
        </w:rPr>
        <w:t>l recupero, a valere sul FFO</w:t>
      </w:r>
      <w:r w:rsidR="00BD6426">
        <w:rPr>
          <w:sz w:val="24"/>
          <w:szCs w:val="24"/>
        </w:rPr>
        <w:t>,</w:t>
      </w:r>
      <w:r w:rsidR="005F5522" w:rsidRPr="005F5522">
        <w:rPr>
          <w:sz w:val="24"/>
          <w:szCs w:val="24"/>
        </w:rPr>
        <w:t xml:space="preserve"> </w:t>
      </w:r>
      <w:r w:rsidR="00E63FD6">
        <w:rPr>
          <w:sz w:val="24"/>
          <w:szCs w:val="24"/>
        </w:rPr>
        <w:t xml:space="preserve">di parte del finanziamento, </w:t>
      </w:r>
      <w:r w:rsidR="005F5522" w:rsidRPr="005F5522">
        <w:rPr>
          <w:sz w:val="24"/>
          <w:szCs w:val="24"/>
        </w:rPr>
        <w:t>in misura p</w:t>
      </w:r>
      <w:r w:rsidR="005518DF">
        <w:rPr>
          <w:sz w:val="24"/>
          <w:szCs w:val="24"/>
        </w:rPr>
        <w:t>roporzionale agli scostamenti</w:t>
      </w:r>
      <w:r w:rsidR="00DA001C">
        <w:rPr>
          <w:sz w:val="24"/>
          <w:szCs w:val="24"/>
        </w:rPr>
        <w:t xml:space="preserve"> </w:t>
      </w:r>
      <w:r w:rsidR="005518DF">
        <w:rPr>
          <w:sz w:val="24"/>
          <w:szCs w:val="24"/>
        </w:rPr>
        <w:t>rilevati</w:t>
      </w:r>
      <w:r w:rsidR="00DA001C">
        <w:rPr>
          <w:sz w:val="24"/>
          <w:szCs w:val="24"/>
        </w:rPr>
        <w:t>.</w:t>
      </w:r>
    </w:p>
    <w:p w:rsidR="00DA001C" w:rsidRDefault="005F5522" w:rsidP="00DA4FE2">
      <w:pPr>
        <w:ind w:firstLine="720"/>
        <w:jc w:val="both"/>
        <w:rPr>
          <w:sz w:val="24"/>
          <w:szCs w:val="24"/>
        </w:rPr>
      </w:pPr>
      <w:r w:rsidRPr="005F5522">
        <w:rPr>
          <w:sz w:val="24"/>
          <w:szCs w:val="24"/>
        </w:rPr>
        <w:t>Per quanto concerne l’Obiettivo D “</w:t>
      </w:r>
      <w:r w:rsidRPr="005F5522">
        <w:rPr>
          <w:i/>
          <w:sz w:val="24"/>
          <w:szCs w:val="24"/>
        </w:rPr>
        <w:t>Valorizzazione dell’autonomia responsabile</w:t>
      </w:r>
      <w:r w:rsidRPr="005F5522">
        <w:rPr>
          <w:sz w:val="24"/>
          <w:szCs w:val="24"/>
        </w:rPr>
        <w:t>”, a decorrere dall’anno prossimo, una quota pari al 20% della quota premiale del Fondo di Finanziamento Ordinario, ovvero del contributo di cui alla L. n. 243/1991, sarà distribuita tra gli Atenei secondo i miglioramenti di risultato relativi agli indicatori scelti autonomamente nell’ambito di quelli di cui all’Allegato 2 del D.M.</w:t>
      </w:r>
    </w:p>
    <w:p w:rsidR="005F5522" w:rsidRPr="005F5522" w:rsidRDefault="00DA001C" w:rsidP="00DA4FE2">
      <w:pPr>
        <w:ind w:firstLine="720"/>
        <w:jc w:val="both"/>
        <w:rPr>
          <w:sz w:val="24"/>
          <w:szCs w:val="24"/>
        </w:rPr>
      </w:pPr>
      <w:r>
        <w:rPr>
          <w:sz w:val="24"/>
          <w:szCs w:val="24"/>
        </w:rPr>
        <w:t>Detti indicatori</w:t>
      </w:r>
      <w:r w:rsidR="005F5522" w:rsidRPr="005F5522">
        <w:rPr>
          <w:sz w:val="24"/>
          <w:szCs w:val="24"/>
        </w:rPr>
        <w:t xml:space="preserve"> riguardano la qualità dell’ambiente della ricerca (1° gruppo),</w:t>
      </w:r>
      <w:r>
        <w:rPr>
          <w:sz w:val="24"/>
          <w:szCs w:val="24"/>
        </w:rPr>
        <w:t xml:space="preserve"> </w:t>
      </w:r>
      <w:r w:rsidR="005F5522" w:rsidRPr="005F5522">
        <w:rPr>
          <w:sz w:val="24"/>
          <w:szCs w:val="24"/>
        </w:rPr>
        <w:t>la qualità della didattica (2° gruppo) e le strategie di internazionalizzazione (3° gruppo).</w:t>
      </w:r>
    </w:p>
    <w:p w:rsidR="005F5522" w:rsidRDefault="00DA001C" w:rsidP="00DA4FE2">
      <w:pPr>
        <w:ind w:firstLine="720"/>
        <w:jc w:val="both"/>
        <w:rPr>
          <w:sz w:val="24"/>
          <w:szCs w:val="24"/>
        </w:rPr>
      </w:pPr>
      <w:r>
        <w:rPr>
          <w:sz w:val="24"/>
          <w:szCs w:val="24"/>
        </w:rPr>
        <w:t xml:space="preserve">Di seguito, </w:t>
      </w:r>
      <w:r w:rsidRPr="00DA001C">
        <w:rPr>
          <w:i/>
          <w:sz w:val="24"/>
          <w:szCs w:val="24"/>
        </w:rPr>
        <w:t>in Tabella 4</w:t>
      </w:r>
      <w:r w:rsidR="005F5522" w:rsidRPr="005F5522">
        <w:rPr>
          <w:sz w:val="24"/>
          <w:szCs w:val="24"/>
        </w:rPr>
        <w:t>, sono riassunti i criteri e le modalità del riparto annuale del finanziamento statale non vincolato nella destinazione alle Università statali.</w:t>
      </w:r>
    </w:p>
    <w:p w:rsidR="00DA4FE2" w:rsidRDefault="00DA4FE2" w:rsidP="00DA4FE2">
      <w:pPr>
        <w:ind w:firstLine="720"/>
        <w:jc w:val="both"/>
        <w:rPr>
          <w:sz w:val="24"/>
          <w:szCs w:val="24"/>
        </w:rPr>
      </w:pPr>
    </w:p>
    <w:p w:rsidR="00DA4FE2" w:rsidRDefault="00DA4FE2" w:rsidP="00DA4FE2">
      <w:pPr>
        <w:ind w:firstLine="720"/>
        <w:jc w:val="both"/>
        <w:rPr>
          <w:sz w:val="24"/>
          <w:szCs w:val="24"/>
        </w:rPr>
      </w:pPr>
    </w:p>
    <w:p w:rsidR="00DA4FE2" w:rsidRPr="005F5522" w:rsidRDefault="00DA4FE2" w:rsidP="00DA4FE2">
      <w:pPr>
        <w:ind w:firstLine="720"/>
        <w:jc w:val="both"/>
        <w:rPr>
          <w:sz w:val="24"/>
          <w:szCs w:val="24"/>
        </w:rPr>
      </w:pPr>
    </w:p>
    <w:p w:rsidR="005F5522" w:rsidRDefault="0059383D" w:rsidP="0020773D">
      <w:pPr>
        <w:ind w:firstLine="720"/>
        <w:jc w:val="both"/>
        <w:rPr>
          <w:i/>
        </w:rPr>
      </w:pPr>
      <w:r>
        <w:rPr>
          <w:i/>
        </w:rPr>
        <w:t xml:space="preserve">Tabella 4: </w:t>
      </w:r>
      <w:r w:rsidR="005F5522" w:rsidRPr="005F5522">
        <w:rPr>
          <w:i/>
        </w:rPr>
        <w:t>Voci di riferimento del Finanziamento statale alle Università Statali </w:t>
      </w:r>
    </w:p>
    <w:p w:rsidR="0020773D" w:rsidRPr="005F5522" w:rsidRDefault="0020773D" w:rsidP="0020773D">
      <w:pPr>
        <w:ind w:firstLine="720"/>
        <w:jc w:val="both"/>
        <w:rPr>
          <w:i/>
        </w:rPr>
      </w:pPr>
    </w:p>
    <w:tbl>
      <w:tblPr>
        <w:tblW w:w="0" w:type="auto"/>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3423"/>
        <w:gridCol w:w="994"/>
        <w:gridCol w:w="1373"/>
        <w:gridCol w:w="1373"/>
      </w:tblGrid>
      <w:tr w:rsidR="005F5522" w:rsidRPr="005F5522" w:rsidTr="005518DF">
        <w:tc>
          <w:tcPr>
            <w:tcW w:w="0" w:type="auto"/>
            <w:tcBorders>
              <w:top w:val="single" w:sz="4" w:space="0" w:color="BDD6EE"/>
              <w:left w:val="single" w:sz="4" w:space="0" w:color="BDD6EE"/>
              <w:bottom w:val="single" w:sz="12" w:space="0" w:color="9CC2E5"/>
              <w:right w:val="single" w:sz="4" w:space="0" w:color="BDD6EE"/>
            </w:tcBorders>
            <w:hideMark/>
          </w:tcPr>
          <w:p w:rsidR="005F5522" w:rsidRPr="005F5522" w:rsidRDefault="005F5522" w:rsidP="005F5522">
            <w:pPr>
              <w:widowControl w:val="0"/>
              <w:autoSpaceDE w:val="0"/>
              <w:autoSpaceDN w:val="0"/>
              <w:adjustRightInd w:val="0"/>
              <w:spacing w:after="240"/>
              <w:jc w:val="both"/>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 VOCI</w:t>
            </w:r>
          </w:p>
        </w:tc>
        <w:tc>
          <w:tcPr>
            <w:tcW w:w="994" w:type="dxa"/>
            <w:tcBorders>
              <w:top w:val="single" w:sz="4" w:space="0" w:color="BDD6EE"/>
              <w:left w:val="single" w:sz="4" w:space="0" w:color="808080"/>
              <w:bottom w:val="single" w:sz="12" w:space="0" w:color="9CC2E5"/>
              <w:right w:val="single" w:sz="4" w:space="0" w:color="BDD6EE"/>
            </w:tcBorders>
            <w:hideMark/>
          </w:tcPr>
          <w:p w:rsidR="005F5522" w:rsidRPr="005F5522" w:rsidRDefault="005F5522" w:rsidP="005F5522">
            <w:pPr>
              <w:widowControl w:val="0"/>
              <w:autoSpaceDE w:val="0"/>
              <w:autoSpaceDN w:val="0"/>
              <w:adjustRightInd w:val="0"/>
              <w:spacing w:after="240"/>
              <w:jc w:val="center"/>
              <w:rPr>
                <w:rFonts w:ascii="Calibri" w:eastAsia="Verdana,Tahoma" w:hAnsi="Calibri" w:cs="Verdana,Tahoma"/>
                <w:b/>
                <w:sz w:val="15"/>
                <w:szCs w:val="15"/>
                <w:lang w:eastAsia="en-US"/>
              </w:rPr>
            </w:pPr>
            <w:r w:rsidRPr="005F5522">
              <w:rPr>
                <w:rFonts w:ascii="Calibri" w:eastAsia="Verdana,Tahoma" w:hAnsi="Calibri" w:cs="Verdana,Tahoma"/>
                <w:b/>
                <w:sz w:val="15"/>
                <w:szCs w:val="15"/>
                <w:lang w:eastAsia="en-US"/>
              </w:rPr>
              <w:t>2016</w:t>
            </w:r>
          </w:p>
        </w:tc>
        <w:tc>
          <w:tcPr>
            <w:tcW w:w="1373" w:type="dxa"/>
            <w:tcBorders>
              <w:top w:val="single" w:sz="4" w:space="0" w:color="BDD6EE"/>
              <w:left w:val="single" w:sz="4" w:space="0" w:color="808080"/>
              <w:bottom w:val="single" w:sz="12" w:space="0" w:color="9CC2E5"/>
              <w:right w:val="single" w:sz="4" w:space="0" w:color="BDD6EE"/>
            </w:tcBorders>
            <w:hideMark/>
          </w:tcPr>
          <w:p w:rsidR="005F5522" w:rsidRPr="005F5522" w:rsidRDefault="005F5522" w:rsidP="005F5522">
            <w:pPr>
              <w:widowControl w:val="0"/>
              <w:autoSpaceDE w:val="0"/>
              <w:autoSpaceDN w:val="0"/>
              <w:adjustRightInd w:val="0"/>
              <w:spacing w:after="240"/>
              <w:jc w:val="center"/>
              <w:rPr>
                <w:rFonts w:ascii="Calibri" w:eastAsia="Verdana,Tahoma" w:hAnsi="Calibri" w:cs="Verdana,Tahoma"/>
                <w:b/>
                <w:sz w:val="15"/>
                <w:szCs w:val="15"/>
                <w:lang w:eastAsia="en-US"/>
              </w:rPr>
            </w:pPr>
            <w:r w:rsidRPr="005F5522">
              <w:rPr>
                <w:rFonts w:ascii="Calibri" w:eastAsia="Verdana,Tahoma" w:hAnsi="Calibri" w:cs="Verdana,Tahoma"/>
                <w:b/>
                <w:sz w:val="15"/>
                <w:szCs w:val="15"/>
                <w:lang w:eastAsia="en-US"/>
              </w:rPr>
              <w:t>2017</w:t>
            </w:r>
          </w:p>
        </w:tc>
        <w:tc>
          <w:tcPr>
            <w:tcW w:w="0" w:type="auto"/>
            <w:tcBorders>
              <w:top w:val="single" w:sz="4" w:space="0" w:color="BDD6EE"/>
              <w:left w:val="single" w:sz="4" w:space="0" w:color="808080"/>
              <w:bottom w:val="single" w:sz="12" w:space="0" w:color="9CC2E5"/>
              <w:right w:val="single" w:sz="4" w:space="0" w:color="BDD6EE"/>
            </w:tcBorders>
            <w:hideMark/>
          </w:tcPr>
          <w:p w:rsidR="005F5522" w:rsidRPr="005F5522" w:rsidRDefault="005F5522" w:rsidP="005F5522">
            <w:pPr>
              <w:widowControl w:val="0"/>
              <w:autoSpaceDE w:val="0"/>
              <w:autoSpaceDN w:val="0"/>
              <w:adjustRightInd w:val="0"/>
              <w:spacing w:after="240"/>
              <w:jc w:val="center"/>
              <w:rPr>
                <w:rFonts w:ascii="Calibri" w:eastAsia="Verdana,Tahoma" w:hAnsi="Calibri" w:cs="Verdana,Tahoma"/>
                <w:b/>
                <w:sz w:val="15"/>
                <w:szCs w:val="15"/>
                <w:lang w:eastAsia="en-US"/>
              </w:rPr>
            </w:pPr>
            <w:r w:rsidRPr="005F5522">
              <w:rPr>
                <w:rFonts w:ascii="Calibri" w:eastAsia="Verdana,Tahoma" w:hAnsi="Calibri" w:cs="Verdana,Tahoma"/>
                <w:b/>
                <w:sz w:val="15"/>
                <w:szCs w:val="15"/>
                <w:lang w:eastAsia="en-US"/>
              </w:rPr>
              <w:t>2018</w:t>
            </w:r>
          </w:p>
        </w:tc>
      </w:tr>
      <w:tr w:rsidR="005F5522" w:rsidRPr="005F5522" w:rsidTr="005518DF">
        <w:tc>
          <w:tcPr>
            <w:tcW w:w="0" w:type="auto"/>
            <w:vMerge w:val="restart"/>
            <w:tcBorders>
              <w:top w:val="single" w:sz="4" w:space="0" w:color="808080"/>
              <w:left w:val="single" w:sz="4" w:space="0" w:color="BDD6EE"/>
              <w:bottom w:val="single" w:sz="4" w:space="0" w:color="BDD6EE"/>
              <w:right w:val="single" w:sz="4" w:space="0" w:color="BDD6EE"/>
            </w:tcBorders>
            <w:hideMark/>
          </w:tcPr>
          <w:p w:rsidR="005F5522" w:rsidRPr="005F5522" w:rsidRDefault="005F5522" w:rsidP="005F5522">
            <w:pPr>
              <w:widowControl w:val="0"/>
              <w:autoSpaceDE w:val="0"/>
              <w:autoSpaceDN w:val="0"/>
              <w:adjustRightInd w:val="0"/>
              <w:spacing w:after="240"/>
              <w:jc w:val="both"/>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QUOTA BASE </w:t>
            </w:r>
          </w:p>
          <w:p w:rsidR="005F5522" w:rsidRPr="005F5522" w:rsidRDefault="005F5522" w:rsidP="005F5522">
            <w:pPr>
              <w:widowControl w:val="0"/>
              <w:autoSpaceDE w:val="0"/>
              <w:autoSpaceDN w:val="0"/>
              <w:adjustRightInd w:val="0"/>
              <w:spacing w:after="240"/>
              <w:jc w:val="both"/>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di cui costo standard per studente in corso </w:t>
            </w:r>
          </w:p>
        </w:tc>
        <w:tc>
          <w:tcPr>
            <w:tcW w:w="994" w:type="dxa"/>
            <w:tcBorders>
              <w:top w:val="single" w:sz="4" w:space="0" w:color="808080"/>
              <w:left w:val="single" w:sz="4" w:space="0" w:color="808080"/>
              <w:bottom w:val="single" w:sz="4" w:space="0" w:color="BDD6EE"/>
              <w:right w:val="single" w:sz="4" w:space="0" w:color="BDD6EE"/>
            </w:tcBorders>
            <w:hideMark/>
          </w:tcPr>
          <w:p w:rsidR="005F5522" w:rsidRPr="005F5522" w:rsidRDefault="005F5522" w:rsidP="005F5522">
            <w:pPr>
              <w:widowControl w:val="0"/>
              <w:autoSpaceDE w:val="0"/>
              <w:autoSpaceDN w:val="0"/>
              <w:adjustRightInd w:val="0"/>
              <w:spacing w:after="240"/>
              <w:jc w:val="right"/>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Min 67% </w:t>
            </w:r>
          </w:p>
        </w:tc>
        <w:tc>
          <w:tcPr>
            <w:tcW w:w="1373" w:type="dxa"/>
            <w:tcBorders>
              <w:top w:val="single" w:sz="4" w:space="0" w:color="808080"/>
              <w:left w:val="single" w:sz="4" w:space="0" w:color="808080"/>
              <w:bottom w:val="single" w:sz="4" w:space="0" w:color="BDD6EE"/>
              <w:right w:val="single" w:sz="4" w:space="0" w:color="BDD6EE"/>
            </w:tcBorders>
            <w:hideMark/>
          </w:tcPr>
          <w:p w:rsidR="005F5522" w:rsidRPr="005F5522" w:rsidRDefault="005F5522" w:rsidP="005F5522">
            <w:pPr>
              <w:widowControl w:val="0"/>
              <w:autoSpaceDE w:val="0"/>
              <w:autoSpaceDN w:val="0"/>
              <w:adjustRightInd w:val="0"/>
              <w:spacing w:after="240"/>
              <w:jc w:val="right"/>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Min 65% </w:t>
            </w:r>
          </w:p>
        </w:tc>
        <w:tc>
          <w:tcPr>
            <w:tcW w:w="0" w:type="auto"/>
            <w:tcBorders>
              <w:top w:val="single" w:sz="4" w:space="0" w:color="808080"/>
              <w:left w:val="single" w:sz="4" w:space="0" w:color="808080"/>
              <w:bottom w:val="single" w:sz="4" w:space="0" w:color="BDD6EE"/>
              <w:right w:val="single" w:sz="4" w:space="0" w:color="BDD6EE"/>
            </w:tcBorders>
            <w:hideMark/>
          </w:tcPr>
          <w:p w:rsidR="005F5522" w:rsidRPr="005F5522" w:rsidRDefault="005F5522" w:rsidP="005F5522">
            <w:pPr>
              <w:widowControl w:val="0"/>
              <w:autoSpaceDE w:val="0"/>
              <w:autoSpaceDN w:val="0"/>
              <w:adjustRightInd w:val="0"/>
              <w:spacing w:after="240"/>
              <w:jc w:val="right"/>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Min 63% </w:t>
            </w:r>
          </w:p>
        </w:tc>
      </w:tr>
      <w:tr w:rsidR="005F5522" w:rsidRPr="005F5522" w:rsidTr="005518DF">
        <w:tc>
          <w:tcPr>
            <w:tcW w:w="0" w:type="auto"/>
            <w:vMerge/>
            <w:tcBorders>
              <w:top w:val="single" w:sz="4" w:space="0" w:color="808080"/>
              <w:left w:val="single" w:sz="4" w:space="0" w:color="BDD6EE"/>
              <w:bottom w:val="single" w:sz="4" w:space="0" w:color="BDD6EE"/>
              <w:right w:val="single" w:sz="4" w:space="0" w:color="BDD6EE"/>
            </w:tcBorders>
            <w:vAlign w:val="center"/>
            <w:hideMark/>
          </w:tcPr>
          <w:p w:rsidR="005F5522" w:rsidRPr="005F5522" w:rsidRDefault="005F5522" w:rsidP="005F5522">
            <w:pPr>
              <w:widowControl w:val="0"/>
              <w:autoSpaceDE w:val="0"/>
              <w:autoSpaceDN w:val="0"/>
              <w:adjustRightInd w:val="0"/>
              <w:spacing w:after="240"/>
              <w:jc w:val="both"/>
              <w:rPr>
                <w:rFonts w:ascii="Calibri" w:eastAsia="Verdana,Tahoma" w:hAnsi="Calibri" w:cs="Verdana,Tahoma"/>
                <w:sz w:val="15"/>
                <w:szCs w:val="15"/>
                <w:lang w:eastAsia="en-US"/>
              </w:rPr>
            </w:pPr>
          </w:p>
        </w:tc>
        <w:tc>
          <w:tcPr>
            <w:tcW w:w="994" w:type="dxa"/>
            <w:tcBorders>
              <w:top w:val="single" w:sz="4" w:space="0" w:color="808080"/>
              <w:left w:val="single" w:sz="4" w:space="0" w:color="808080"/>
              <w:bottom w:val="single" w:sz="4" w:space="0" w:color="BDD6EE"/>
              <w:right w:val="single" w:sz="4" w:space="0" w:color="BDD6EE"/>
            </w:tcBorders>
            <w:vAlign w:val="center"/>
            <w:hideMark/>
          </w:tcPr>
          <w:p w:rsidR="005F5522" w:rsidRPr="005F5522" w:rsidRDefault="005F5522" w:rsidP="005F5522">
            <w:pPr>
              <w:widowControl w:val="0"/>
              <w:autoSpaceDE w:val="0"/>
              <w:autoSpaceDN w:val="0"/>
              <w:adjustRightInd w:val="0"/>
              <w:spacing w:after="240"/>
              <w:jc w:val="right"/>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28% </w:t>
            </w:r>
          </w:p>
        </w:tc>
        <w:tc>
          <w:tcPr>
            <w:tcW w:w="1373" w:type="dxa"/>
            <w:tcBorders>
              <w:top w:val="single" w:sz="4" w:space="0" w:color="808080"/>
              <w:left w:val="single" w:sz="4" w:space="0" w:color="808080"/>
              <w:bottom w:val="single" w:sz="4" w:space="0" w:color="BDD6EE"/>
              <w:right w:val="single" w:sz="4" w:space="0" w:color="BDD6EE"/>
            </w:tcBorders>
            <w:vAlign w:val="center"/>
            <w:hideMark/>
          </w:tcPr>
          <w:p w:rsidR="005F5522" w:rsidRPr="005F5522" w:rsidRDefault="005F5522" w:rsidP="005F5522">
            <w:pPr>
              <w:widowControl w:val="0"/>
              <w:autoSpaceDE w:val="0"/>
              <w:autoSpaceDN w:val="0"/>
              <w:adjustRightInd w:val="0"/>
              <w:spacing w:after="240"/>
              <w:jc w:val="right"/>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Min 30% - MAX 35% </w:t>
            </w:r>
          </w:p>
        </w:tc>
        <w:tc>
          <w:tcPr>
            <w:tcW w:w="0" w:type="auto"/>
            <w:tcBorders>
              <w:top w:val="single" w:sz="4" w:space="0" w:color="808080"/>
              <w:left w:val="single" w:sz="4" w:space="0" w:color="808080"/>
              <w:bottom w:val="single" w:sz="4" w:space="0" w:color="BDD6EE"/>
              <w:right w:val="single" w:sz="4" w:space="0" w:color="BDD6EE"/>
            </w:tcBorders>
            <w:vAlign w:val="center"/>
            <w:hideMark/>
          </w:tcPr>
          <w:p w:rsidR="005F5522" w:rsidRPr="005F5522" w:rsidRDefault="005F5522" w:rsidP="005F5522">
            <w:pPr>
              <w:widowControl w:val="0"/>
              <w:autoSpaceDE w:val="0"/>
              <w:autoSpaceDN w:val="0"/>
              <w:adjustRightInd w:val="0"/>
              <w:spacing w:after="240"/>
              <w:jc w:val="right"/>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Min 35% - MAX 40% </w:t>
            </w:r>
          </w:p>
        </w:tc>
      </w:tr>
      <w:tr w:rsidR="005F5522" w:rsidRPr="005F5522" w:rsidTr="005518DF">
        <w:tc>
          <w:tcPr>
            <w:tcW w:w="0" w:type="auto"/>
            <w:vMerge w:val="restart"/>
            <w:tcBorders>
              <w:top w:val="single" w:sz="4" w:space="0" w:color="808080"/>
              <w:left w:val="single" w:sz="4" w:space="0" w:color="BDD6EE"/>
              <w:bottom w:val="single" w:sz="4" w:space="0" w:color="BDD6EE"/>
              <w:right w:val="single" w:sz="4" w:space="0" w:color="BDD6EE"/>
            </w:tcBorders>
            <w:hideMark/>
          </w:tcPr>
          <w:p w:rsidR="005F5522" w:rsidRPr="005F5522" w:rsidRDefault="005F5522" w:rsidP="005F5522">
            <w:pPr>
              <w:widowControl w:val="0"/>
              <w:autoSpaceDE w:val="0"/>
              <w:autoSpaceDN w:val="0"/>
              <w:adjustRightInd w:val="0"/>
              <w:spacing w:after="240"/>
              <w:jc w:val="both"/>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QUOTA PREMIALE, di cui: </w:t>
            </w:r>
          </w:p>
          <w:p w:rsidR="005F5522" w:rsidRPr="005F5522" w:rsidRDefault="005F5522" w:rsidP="005F5522">
            <w:pPr>
              <w:widowControl w:val="0"/>
              <w:autoSpaceDE w:val="0"/>
              <w:autoSpaceDN w:val="0"/>
              <w:adjustRightInd w:val="0"/>
              <w:spacing w:after="240"/>
              <w:jc w:val="both"/>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risultati della ricerca </w:t>
            </w:r>
          </w:p>
          <w:p w:rsidR="005F5522" w:rsidRPr="005F5522" w:rsidRDefault="005F5522" w:rsidP="005F5522">
            <w:pPr>
              <w:widowControl w:val="0"/>
              <w:autoSpaceDE w:val="0"/>
              <w:autoSpaceDN w:val="0"/>
              <w:adjustRightInd w:val="0"/>
              <w:spacing w:after="240"/>
              <w:jc w:val="both"/>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valutazione delle politiche di reclutamento </w:t>
            </w:r>
          </w:p>
          <w:p w:rsidR="005F5522" w:rsidRPr="005F5522" w:rsidRDefault="005F5522" w:rsidP="005F5522">
            <w:pPr>
              <w:widowControl w:val="0"/>
              <w:autoSpaceDE w:val="0"/>
              <w:autoSpaceDN w:val="0"/>
              <w:adjustRightInd w:val="0"/>
              <w:spacing w:after="240"/>
              <w:jc w:val="both"/>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valorizzazione dell'autonomia responsabile degli Atenei </w:t>
            </w:r>
          </w:p>
        </w:tc>
        <w:tc>
          <w:tcPr>
            <w:tcW w:w="994" w:type="dxa"/>
            <w:tcBorders>
              <w:top w:val="single" w:sz="4" w:space="0" w:color="808080"/>
              <w:left w:val="single" w:sz="4" w:space="0" w:color="808080"/>
              <w:bottom w:val="single" w:sz="4" w:space="0" w:color="BDD6EE"/>
              <w:right w:val="single" w:sz="4" w:space="0" w:color="BDD6EE"/>
            </w:tcBorders>
            <w:vAlign w:val="center"/>
            <w:hideMark/>
          </w:tcPr>
          <w:p w:rsidR="005F5522" w:rsidRPr="005F5522" w:rsidRDefault="005F5522" w:rsidP="005F5522">
            <w:pPr>
              <w:widowControl w:val="0"/>
              <w:autoSpaceDE w:val="0"/>
              <w:autoSpaceDN w:val="0"/>
              <w:adjustRightInd w:val="0"/>
              <w:spacing w:after="240"/>
              <w:jc w:val="right"/>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MIN 20% </w:t>
            </w:r>
          </w:p>
        </w:tc>
        <w:tc>
          <w:tcPr>
            <w:tcW w:w="1373" w:type="dxa"/>
            <w:tcBorders>
              <w:top w:val="single" w:sz="4" w:space="0" w:color="808080"/>
              <w:left w:val="single" w:sz="4" w:space="0" w:color="808080"/>
              <w:bottom w:val="single" w:sz="4" w:space="0" w:color="BDD6EE"/>
              <w:right w:val="single" w:sz="4" w:space="0" w:color="BDD6EE"/>
            </w:tcBorders>
            <w:vAlign w:val="center"/>
            <w:hideMark/>
          </w:tcPr>
          <w:p w:rsidR="005F5522" w:rsidRPr="005F5522" w:rsidRDefault="005F5522" w:rsidP="005F5522">
            <w:pPr>
              <w:widowControl w:val="0"/>
              <w:autoSpaceDE w:val="0"/>
              <w:autoSpaceDN w:val="0"/>
              <w:adjustRightInd w:val="0"/>
              <w:spacing w:after="240"/>
              <w:jc w:val="right"/>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MIN 22% </w:t>
            </w:r>
          </w:p>
        </w:tc>
        <w:tc>
          <w:tcPr>
            <w:tcW w:w="0" w:type="auto"/>
            <w:tcBorders>
              <w:top w:val="single" w:sz="4" w:space="0" w:color="808080"/>
              <w:left w:val="single" w:sz="4" w:space="0" w:color="808080"/>
              <w:bottom w:val="single" w:sz="4" w:space="0" w:color="BDD6EE"/>
              <w:right w:val="single" w:sz="4" w:space="0" w:color="BDD6EE"/>
            </w:tcBorders>
            <w:vAlign w:val="center"/>
            <w:hideMark/>
          </w:tcPr>
          <w:p w:rsidR="005F5522" w:rsidRPr="005F5522" w:rsidRDefault="005F5522" w:rsidP="005F5522">
            <w:pPr>
              <w:widowControl w:val="0"/>
              <w:autoSpaceDE w:val="0"/>
              <w:autoSpaceDN w:val="0"/>
              <w:adjustRightInd w:val="0"/>
              <w:spacing w:after="240"/>
              <w:jc w:val="right"/>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MIN 24% </w:t>
            </w:r>
          </w:p>
        </w:tc>
      </w:tr>
      <w:tr w:rsidR="005F5522" w:rsidRPr="005F5522" w:rsidTr="005518DF">
        <w:tc>
          <w:tcPr>
            <w:tcW w:w="0" w:type="auto"/>
            <w:vMerge/>
            <w:tcBorders>
              <w:top w:val="single" w:sz="4" w:space="0" w:color="808080"/>
              <w:left w:val="single" w:sz="4" w:space="0" w:color="BDD6EE"/>
              <w:bottom w:val="single" w:sz="4" w:space="0" w:color="BDD6EE"/>
              <w:right w:val="single" w:sz="4" w:space="0" w:color="BDD6EE"/>
            </w:tcBorders>
            <w:vAlign w:val="center"/>
            <w:hideMark/>
          </w:tcPr>
          <w:p w:rsidR="005F5522" w:rsidRPr="005F5522" w:rsidRDefault="005F5522" w:rsidP="005F5522">
            <w:pPr>
              <w:widowControl w:val="0"/>
              <w:autoSpaceDE w:val="0"/>
              <w:autoSpaceDN w:val="0"/>
              <w:adjustRightInd w:val="0"/>
              <w:spacing w:after="240"/>
              <w:jc w:val="both"/>
              <w:rPr>
                <w:rFonts w:ascii="Calibri" w:eastAsia="Verdana,Tahoma" w:hAnsi="Calibri" w:cs="Verdana,Tahoma"/>
                <w:sz w:val="15"/>
                <w:szCs w:val="15"/>
                <w:lang w:eastAsia="en-US"/>
              </w:rPr>
            </w:pPr>
          </w:p>
        </w:tc>
        <w:tc>
          <w:tcPr>
            <w:tcW w:w="994" w:type="dxa"/>
            <w:tcBorders>
              <w:top w:val="single" w:sz="4" w:space="0" w:color="808080"/>
              <w:left w:val="single" w:sz="4" w:space="0" w:color="808080"/>
              <w:bottom w:val="single" w:sz="4" w:space="0" w:color="BDD6EE"/>
              <w:right w:val="single" w:sz="4" w:space="0" w:color="BDD6EE"/>
            </w:tcBorders>
            <w:vAlign w:val="center"/>
            <w:hideMark/>
          </w:tcPr>
          <w:p w:rsidR="005F5522" w:rsidRPr="005F5522" w:rsidRDefault="005F5522" w:rsidP="005F5522">
            <w:pPr>
              <w:widowControl w:val="0"/>
              <w:autoSpaceDE w:val="0"/>
              <w:autoSpaceDN w:val="0"/>
              <w:adjustRightInd w:val="0"/>
              <w:spacing w:after="240"/>
              <w:jc w:val="right"/>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≥60% </w:t>
            </w:r>
          </w:p>
        </w:tc>
        <w:tc>
          <w:tcPr>
            <w:tcW w:w="1373" w:type="dxa"/>
            <w:tcBorders>
              <w:top w:val="single" w:sz="4" w:space="0" w:color="808080"/>
              <w:left w:val="single" w:sz="4" w:space="0" w:color="808080"/>
              <w:bottom w:val="single" w:sz="4" w:space="0" w:color="BDD6EE"/>
              <w:right w:val="single" w:sz="4" w:space="0" w:color="BDD6EE"/>
            </w:tcBorders>
            <w:vAlign w:val="center"/>
            <w:hideMark/>
          </w:tcPr>
          <w:p w:rsidR="005F5522" w:rsidRPr="005F5522" w:rsidRDefault="005F5522" w:rsidP="005F5522">
            <w:pPr>
              <w:widowControl w:val="0"/>
              <w:autoSpaceDE w:val="0"/>
              <w:autoSpaceDN w:val="0"/>
              <w:adjustRightInd w:val="0"/>
              <w:spacing w:after="240"/>
              <w:jc w:val="right"/>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 60% </w:t>
            </w:r>
          </w:p>
        </w:tc>
        <w:tc>
          <w:tcPr>
            <w:tcW w:w="0" w:type="auto"/>
            <w:tcBorders>
              <w:top w:val="single" w:sz="4" w:space="0" w:color="808080"/>
              <w:left w:val="single" w:sz="4" w:space="0" w:color="808080"/>
              <w:bottom w:val="single" w:sz="4" w:space="0" w:color="BDD6EE"/>
              <w:right w:val="single" w:sz="4" w:space="0" w:color="BDD6EE"/>
            </w:tcBorders>
            <w:vAlign w:val="center"/>
            <w:hideMark/>
          </w:tcPr>
          <w:p w:rsidR="005F5522" w:rsidRPr="005F5522" w:rsidRDefault="005F5522" w:rsidP="005F5522">
            <w:pPr>
              <w:widowControl w:val="0"/>
              <w:autoSpaceDE w:val="0"/>
              <w:autoSpaceDN w:val="0"/>
              <w:adjustRightInd w:val="0"/>
              <w:spacing w:after="240"/>
              <w:jc w:val="right"/>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 60% </w:t>
            </w:r>
          </w:p>
        </w:tc>
      </w:tr>
      <w:tr w:rsidR="005F5522" w:rsidRPr="005F5522" w:rsidTr="005518DF">
        <w:tc>
          <w:tcPr>
            <w:tcW w:w="0" w:type="auto"/>
            <w:vMerge/>
            <w:tcBorders>
              <w:top w:val="single" w:sz="4" w:space="0" w:color="808080"/>
              <w:left w:val="single" w:sz="4" w:space="0" w:color="BDD6EE"/>
              <w:bottom w:val="single" w:sz="4" w:space="0" w:color="BDD6EE"/>
              <w:right w:val="single" w:sz="4" w:space="0" w:color="BDD6EE"/>
            </w:tcBorders>
            <w:vAlign w:val="center"/>
            <w:hideMark/>
          </w:tcPr>
          <w:p w:rsidR="005F5522" w:rsidRPr="005F5522" w:rsidRDefault="005F5522" w:rsidP="005F5522">
            <w:pPr>
              <w:widowControl w:val="0"/>
              <w:autoSpaceDE w:val="0"/>
              <w:autoSpaceDN w:val="0"/>
              <w:adjustRightInd w:val="0"/>
              <w:spacing w:after="240"/>
              <w:jc w:val="both"/>
              <w:rPr>
                <w:rFonts w:ascii="Calibri" w:eastAsia="Verdana,Tahoma" w:hAnsi="Calibri" w:cs="Verdana,Tahoma"/>
                <w:sz w:val="15"/>
                <w:szCs w:val="15"/>
                <w:lang w:eastAsia="en-US"/>
              </w:rPr>
            </w:pPr>
          </w:p>
        </w:tc>
        <w:tc>
          <w:tcPr>
            <w:tcW w:w="994" w:type="dxa"/>
            <w:tcBorders>
              <w:top w:val="single" w:sz="4" w:space="0" w:color="808080"/>
              <w:left w:val="single" w:sz="4" w:space="0" w:color="808080"/>
              <w:bottom w:val="single" w:sz="4" w:space="0" w:color="BDD6EE"/>
              <w:right w:val="single" w:sz="4" w:space="0" w:color="BDD6EE"/>
            </w:tcBorders>
            <w:vAlign w:val="center"/>
            <w:hideMark/>
          </w:tcPr>
          <w:p w:rsidR="005F5522" w:rsidRPr="005F5522" w:rsidRDefault="005F5522" w:rsidP="005F5522">
            <w:pPr>
              <w:widowControl w:val="0"/>
              <w:autoSpaceDE w:val="0"/>
              <w:autoSpaceDN w:val="0"/>
              <w:adjustRightInd w:val="0"/>
              <w:spacing w:after="240"/>
              <w:jc w:val="right"/>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≥20% </w:t>
            </w:r>
          </w:p>
        </w:tc>
        <w:tc>
          <w:tcPr>
            <w:tcW w:w="1373" w:type="dxa"/>
            <w:tcBorders>
              <w:top w:val="single" w:sz="4" w:space="0" w:color="808080"/>
              <w:left w:val="single" w:sz="4" w:space="0" w:color="808080"/>
              <w:bottom w:val="single" w:sz="4" w:space="0" w:color="BDD6EE"/>
              <w:right w:val="single" w:sz="4" w:space="0" w:color="BDD6EE"/>
            </w:tcBorders>
            <w:vAlign w:val="center"/>
            <w:hideMark/>
          </w:tcPr>
          <w:p w:rsidR="005F5522" w:rsidRPr="005F5522" w:rsidRDefault="005F5522" w:rsidP="005F5522">
            <w:pPr>
              <w:widowControl w:val="0"/>
              <w:autoSpaceDE w:val="0"/>
              <w:autoSpaceDN w:val="0"/>
              <w:adjustRightInd w:val="0"/>
              <w:spacing w:after="240"/>
              <w:jc w:val="right"/>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 20% </w:t>
            </w:r>
          </w:p>
        </w:tc>
        <w:tc>
          <w:tcPr>
            <w:tcW w:w="0" w:type="auto"/>
            <w:tcBorders>
              <w:top w:val="single" w:sz="4" w:space="0" w:color="808080"/>
              <w:left w:val="single" w:sz="4" w:space="0" w:color="808080"/>
              <w:bottom w:val="single" w:sz="4" w:space="0" w:color="BDD6EE"/>
              <w:right w:val="single" w:sz="4" w:space="0" w:color="BDD6EE"/>
            </w:tcBorders>
            <w:vAlign w:val="center"/>
            <w:hideMark/>
          </w:tcPr>
          <w:p w:rsidR="005F5522" w:rsidRPr="005F5522" w:rsidRDefault="005F5522" w:rsidP="005F5522">
            <w:pPr>
              <w:widowControl w:val="0"/>
              <w:autoSpaceDE w:val="0"/>
              <w:autoSpaceDN w:val="0"/>
              <w:adjustRightInd w:val="0"/>
              <w:spacing w:after="240"/>
              <w:jc w:val="right"/>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 20% </w:t>
            </w:r>
          </w:p>
        </w:tc>
      </w:tr>
      <w:tr w:rsidR="005F5522" w:rsidRPr="005F5522" w:rsidTr="005518DF">
        <w:tc>
          <w:tcPr>
            <w:tcW w:w="0" w:type="auto"/>
            <w:vMerge/>
            <w:tcBorders>
              <w:top w:val="single" w:sz="4" w:space="0" w:color="808080"/>
              <w:left w:val="single" w:sz="4" w:space="0" w:color="BDD6EE"/>
              <w:bottom w:val="single" w:sz="4" w:space="0" w:color="BDD6EE"/>
              <w:right w:val="single" w:sz="4" w:space="0" w:color="BDD6EE"/>
            </w:tcBorders>
            <w:vAlign w:val="center"/>
            <w:hideMark/>
          </w:tcPr>
          <w:p w:rsidR="005F5522" w:rsidRPr="005F5522" w:rsidRDefault="005F5522" w:rsidP="005F5522">
            <w:pPr>
              <w:widowControl w:val="0"/>
              <w:autoSpaceDE w:val="0"/>
              <w:autoSpaceDN w:val="0"/>
              <w:adjustRightInd w:val="0"/>
              <w:spacing w:after="240"/>
              <w:jc w:val="both"/>
              <w:rPr>
                <w:rFonts w:ascii="Calibri" w:eastAsia="Verdana,Tahoma" w:hAnsi="Calibri" w:cs="Verdana,Tahoma"/>
                <w:sz w:val="15"/>
                <w:szCs w:val="15"/>
                <w:lang w:eastAsia="en-US"/>
              </w:rPr>
            </w:pPr>
          </w:p>
        </w:tc>
        <w:tc>
          <w:tcPr>
            <w:tcW w:w="994" w:type="dxa"/>
            <w:tcBorders>
              <w:top w:val="single" w:sz="4" w:space="0" w:color="808080"/>
              <w:left w:val="single" w:sz="4" w:space="0" w:color="808080"/>
              <w:bottom w:val="single" w:sz="4" w:space="0" w:color="BDD6EE"/>
              <w:right w:val="single" w:sz="4" w:space="0" w:color="BDD6EE"/>
            </w:tcBorders>
            <w:vAlign w:val="center"/>
            <w:hideMark/>
          </w:tcPr>
          <w:p w:rsidR="005F5522" w:rsidRPr="005F5522" w:rsidRDefault="005F5522" w:rsidP="005F5522">
            <w:pPr>
              <w:widowControl w:val="0"/>
              <w:autoSpaceDE w:val="0"/>
              <w:autoSpaceDN w:val="0"/>
              <w:adjustRightInd w:val="0"/>
              <w:spacing w:after="240"/>
              <w:jc w:val="right"/>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 20%* </w:t>
            </w:r>
          </w:p>
        </w:tc>
        <w:tc>
          <w:tcPr>
            <w:tcW w:w="1373" w:type="dxa"/>
            <w:tcBorders>
              <w:top w:val="single" w:sz="4" w:space="0" w:color="808080"/>
              <w:left w:val="single" w:sz="4" w:space="0" w:color="808080"/>
              <w:bottom w:val="single" w:sz="4" w:space="0" w:color="BDD6EE"/>
              <w:right w:val="single" w:sz="4" w:space="0" w:color="BDD6EE"/>
            </w:tcBorders>
            <w:vAlign w:val="center"/>
            <w:hideMark/>
          </w:tcPr>
          <w:p w:rsidR="005F5522" w:rsidRPr="005F5522" w:rsidRDefault="005F5522" w:rsidP="005F5522">
            <w:pPr>
              <w:widowControl w:val="0"/>
              <w:autoSpaceDE w:val="0"/>
              <w:autoSpaceDN w:val="0"/>
              <w:adjustRightInd w:val="0"/>
              <w:spacing w:after="240"/>
              <w:jc w:val="right"/>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 20% </w:t>
            </w:r>
          </w:p>
        </w:tc>
        <w:tc>
          <w:tcPr>
            <w:tcW w:w="0" w:type="auto"/>
            <w:tcBorders>
              <w:top w:val="single" w:sz="4" w:space="0" w:color="808080"/>
              <w:left w:val="single" w:sz="4" w:space="0" w:color="808080"/>
              <w:bottom w:val="single" w:sz="4" w:space="0" w:color="BDD6EE"/>
              <w:right w:val="single" w:sz="4" w:space="0" w:color="BDD6EE"/>
            </w:tcBorders>
            <w:vAlign w:val="center"/>
            <w:hideMark/>
          </w:tcPr>
          <w:p w:rsidR="005F5522" w:rsidRPr="005F5522" w:rsidRDefault="005F5522" w:rsidP="005F5522">
            <w:pPr>
              <w:widowControl w:val="0"/>
              <w:autoSpaceDE w:val="0"/>
              <w:autoSpaceDN w:val="0"/>
              <w:adjustRightInd w:val="0"/>
              <w:spacing w:after="240"/>
              <w:jc w:val="right"/>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 20% </w:t>
            </w:r>
          </w:p>
        </w:tc>
      </w:tr>
      <w:tr w:rsidR="005F5522" w:rsidRPr="005F5522" w:rsidTr="005518DF">
        <w:tc>
          <w:tcPr>
            <w:tcW w:w="0" w:type="auto"/>
            <w:tcBorders>
              <w:top w:val="single" w:sz="4" w:space="0" w:color="808080"/>
              <w:left w:val="single" w:sz="4" w:space="0" w:color="BDD6EE"/>
              <w:bottom w:val="single" w:sz="4" w:space="0" w:color="BDD6EE"/>
              <w:right w:val="single" w:sz="4" w:space="0" w:color="BDD6EE"/>
            </w:tcBorders>
            <w:hideMark/>
          </w:tcPr>
          <w:p w:rsidR="005F5522" w:rsidRPr="005F5522" w:rsidRDefault="005F5522" w:rsidP="005F5522">
            <w:pPr>
              <w:widowControl w:val="0"/>
              <w:autoSpaceDE w:val="0"/>
              <w:autoSpaceDN w:val="0"/>
              <w:adjustRightInd w:val="0"/>
              <w:spacing w:after="240"/>
              <w:jc w:val="both"/>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QUOTA PROGRAMMAZIONE TRIENNALE </w:t>
            </w:r>
          </w:p>
        </w:tc>
        <w:tc>
          <w:tcPr>
            <w:tcW w:w="994" w:type="dxa"/>
            <w:tcBorders>
              <w:top w:val="single" w:sz="4" w:space="0" w:color="808080"/>
              <w:left w:val="single" w:sz="4" w:space="0" w:color="808080"/>
              <w:bottom w:val="single" w:sz="4" w:space="0" w:color="BDD6EE"/>
              <w:right w:val="single" w:sz="4" w:space="0" w:color="BDD6EE"/>
            </w:tcBorders>
            <w:vAlign w:val="center"/>
            <w:hideMark/>
          </w:tcPr>
          <w:p w:rsidR="005F5522" w:rsidRPr="005F5522" w:rsidRDefault="005F5522" w:rsidP="005F5522">
            <w:pPr>
              <w:widowControl w:val="0"/>
              <w:autoSpaceDE w:val="0"/>
              <w:autoSpaceDN w:val="0"/>
              <w:adjustRightInd w:val="0"/>
              <w:spacing w:after="240"/>
              <w:jc w:val="right"/>
              <w:rPr>
                <w:rFonts w:ascii="Calibri" w:eastAsia="Verdana,Tahoma" w:hAnsi="Calibri" w:cs="Verdana,Tahoma"/>
                <w:sz w:val="15"/>
                <w:szCs w:val="15"/>
                <w:lang w:eastAsia="en-US"/>
              </w:rPr>
            </w:pPr>
            <w:r w:rsidRPr="005F5522">
              <w:rPr>
                <w:rFonts w:ascii="MS Mincho" w:eastAsia="MS Mincho" w:hAnsi="MS Mincho" w:cs="MS Mincho"/>
                <w:sz w:val="15"/>
                <w:szCs w:val="15"/>
                <w:lang w:eastAsia="en-US"/>
              </w:rPr>
              <w:t>≅</w:t>
            </w:r>
            <w:r w:rsidRPr="005F5522">
              <w:rPr>
                <w:rFonts w:ascii="Calibri" w:eastAsia="Verdana,Tahoma" w:hAnsi="Calibri" w:cs="Verdana,Tahoma"/>
                <w:sz w:val="15"/>
                <w:szCs w:val="15"/>
                <w:lang w:eastAsia="en-US"/>
              </w:rPr>
              <w:t>1% </w:t>
            </w:r>
          </w:p>
          <w:p w:rsidR="005F5522" w:rsidRPr="005F5522" w:rsidRDefault="005F5522" w:rsidP="005F5522">
            <w:pPr>
              <w:widowControl w:val="0"/>
              <w:autoSpaceDE w:val="0"/>
              <w:autoSpaceDN w:val="0"/>
              <w:adjustRightInd w:val="0"/>
              <w:spacing w:after="240"/>
              <w:jc w:val="right"/>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 xml:space="preserve"> (€ 56,5 milioni) </w:t>
            </w:r>
          </w:p>
        </w:tc>
        <w:tc>
          <w:tcPr>
            <w:tcW w:w="1373" w:type="dxa"/>
            <w:tcBorders>
              <w:top w:val="single" w:sz="4" w:space="0" w:color="808080"/>
              <w:left w:val="single" w:sz="4" w:space="0" w:color="808080"/>
              <w:bottom w:val="single" w:sz="4" w:space="0" w:color="BDD6EE"/>
              <w:right w:val="single" w:sz="4" w:space="0" w:color="BDD6EE"/>
            </w:tcBorders>
            <w:vAlign w:val="center"/>
            <w:hideMark/>
          </w:tcPr>
          <w:p w:rsidR="005F5522" w:rsidRPr="005F5522" w:rsidRDefault="005F5522" w:rsidP="005F5522">
            <w:pPr>
              <w:widowControl w:val="0"/>
              <w:autoSpaceDE w:val="0"/>
              <w:autoSpaceDN w:val="0"/>
              <w:adjustRightInd w:val="0"/>
              <w:spacing w:after="240"/>
              <w:jc w:val="right"/>
              <w:rPr>
                <w:rFonts w:ascii="Calibri" w:eastAsia="Verdana,Tahoma" w:hAnsi="Calibri" w:cs="Verdana,Tahoma"/>
                <w:sz w:val="15"/>
                <w:szCs w:val="15"/>
                <w:lang w:eastAsia="en-US"/>
              </w:rPr>
            </w:pPr>
            <w:r w:rsidRPr="005F5522">
              <w:rPr>
                <w:rFonts w:ascii="MS Mincho" w:eastAsia="MS Mincho" w:hAnsi="MS Mincho" w:cs="MS Mincho"/>
                <w:sz w:val="15"/>
                <w:szCs w:val="15"/>
                <w:lang w:eastAsia="en-US"/>
              </w:rPr>
              <w:t>≅</w:t>
            </w:r>
            <w:r w:rsidRPr="005F5522">
              <w:rPr>
                <w:rFonts w:ascii="Calibri" w:eastAsia="Verdana,Tahoma" w:hAnsi="Calibri" w:cs="Verdana,Tahoma"/>
                <w:sz w:val="15"/>
                <w:szCs w:val="15"/>
                <w:lang w:eastAsia="en-US"/>
              </w:rPr>
              <w:t>1% </w:t>
            </w:r>
          </w:p>
          <w:p w:rsidR="005F5522" w:rsidRPr="005F5522" w:rsidRDefault="005F5522" w:rsidP="005F5522">
            <w:pPr>
              <w:widowControl w:val="0"/>
              <w:autoSpaceDE w:val="0"/>
              <w:autoSpaceDN w:val="0"/>
              <w:adjustRightInd w:val="0"/>
              <w:spacing w:after="240"/>
              <w:jc w:val="right"/>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 xml:space="preserve"> (almeno € 50 milioni) </w:t>
            </w:r>
          </w:p>
        </w:tc>
        <w:tc>
          <w:tcPr>
            <w:tcW w:w="0" w:type="auto"/>
            <w:tcBorders>
              <w:top w:val="single" w:sz="4" w:space="0" w:color="808080"/>
              <w:left w:val="single" w:sz="4" w:space="0" w:color="808080"/>
              <w:bottom w:val="single" w:sz="4" w:space="0" w:color="BDD6EE"/>
              <w:right w:val="single" w:sz="4" w:space="0" w:color="BDD6EE"/>
            </w:tcBorders>
            <w:vAlign w:val="center"/>
            <w:hideMark/>
          </w:tcPr>
          <w:p w:rsidR="005F5522" w:rsidRPr="005F5522" w:rsidRDefault="005F5522" w:rsidP="005F5522">
            <w:pPr>
              <w:widowControl w:val="0"/>
              <w:autoSpaceDE w:val="0"/>
              <w:autoSpaceDN w:val="0"/>
              <w:adjustRightInd w:val="0"/>
              <w:spacing w:after="240"/>
              <w:jc w:val="right"/>
              <w:rPr>
                <w:rFonts w:ascii="Calibri" w:eastAsia="Verdana,Tahoma" w:hAnsi="Calibri" w:cs="Verdana,Tahoma"/>
                <w:sz w:val="15"/>
                <w:szCs w:val="15"/>
                <w:lang w:eastAsia="en-US"/>
              </w:rPr>
            </w:pPr>
            <w:r w:rsidRPr="005F5522">
              <w:rPr>
                <w:rFonts w:ascii="MS Mincho" w:eastAsia="MS Mincho" w:hAnsi="MS Mincho" w:cs="MS Mincho"/>
                <w:sz w:val="15"/>
                <w:szCs w:val="15"/>
                <w:lang w:eastAsia="en-US"/>
              </w:rPr>
              <w:t>≅</w:t>
            </w:r>
            <w:r w:rsidRPr="005F5522">
              <w:rPr>
                <w:rFonts w:ascii="Calibri" w:eastAsia="Verdana,Tahoma" w:hAnsi="Calibri" w:cs="Verdana,Tahoma"/>
                <w:sz w:val="15"/>
                <w:szCs w:val="15"/>
                <w:lang w:eastAsia="en-US"/>
              </w:rPr>
              <w:t>1% </w:t>
            </w:r>
          </w:p>
          <w:p w:rsidR="005F5522" w:rsidRPr="005F5522" w:rsidRDefault="005F5522" w:rsidP="005F5522">
            <w:pPr>
              <w:widowControl w:val="0"/>
              <w:autoSpaceDE w:val="0"/>
              <w:autoSpaceDN w:val="0"/>
              <w:adjustRightInd w:val="0"/>
              <w:spacing w:after="240"/>
              <w:jc w:val="right"/>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 xml:space="preserve"> (almeno € 50 milioni) </w:t>
            </w:r>
          </w:p>
        </w:tc>
      </w:tr>
      <w:tr w:rsidR="005F5522" w:rsidRPr="005F5522" w:rsidTr="005518DF">
        <w:tc>
          <w:tcPr>
            <w:tcW w:w="0" w:type="auto"/>
            <w:tcBorders>
              <w:top w:val="single" w:sz="4" w:space="0" w:color="808080"/>
              <w:left w:val="single" w:sz="4" w:space="0" w:color="BDD6EE"/>
              <w:bottom w:val="single" w:sz="4" w:space="0" w:color="BDD6EE"/>
              <w:right w:val="single" w:sz="4" w:space="0" w:color="BDD6EE"/>
            </w:tcBorders>
            <w:hideMark/>
          </w:tcPr>
          <w:p w:rsidR="005F5522" w:rsidRPr="005F5522" w:rsidRDefault="005F5522" w:rsidP="005F5522">
            <w:pPr>
              <w:widowControl w:val="0"/>
              <w:autoSpaceDE w:val="0"/>
              <w:autoSpaceDN w:val="0"/>
              <w:adjustRightInd w:val="0"/>
              <w:spacing w:after="240"/>
              <w:jc w:val="both"/>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QUOTA INTERVENTI SPECIFICI </w:t>
            </w:r>
          </w:p>
          <w:p w:rsidR="005F5522" w:rsidRPr="005F5522" w:rsidRDefault="005F5522" w:rsidP="005F5522">
            <w:pPr>
              <w:widowControl w:val="0"/>
              <w:autoSpaceDE w:val="0"/>
              <w:autoSpaceDN w:val="0"/>
              <w:adjustRightInd w:val="0"/>
              <w:spacing w:after="240"/>
              <w:jc w:val="both"/>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Interventi perequativi </w:t>
            </w:r>
          </w:p>
          <w:p w:rsidR="005F5522" w:rsidRPr="005F5522" w:rsidRDefault="005F5522" w:rsidP="005F5522">
            <w:pPr>
              <w:widowControl w:val="0"/>
              <w:autoSpaceDE w:val="0"/>
              <w:autoSpaceDN w:val="0"/>
              <w:adjustRightInd w:val="0"/>
              <w:spacing w:after="240"/>
              <w:jc w:val="both"/>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Altri Interventi specifici </w:t>
            </w:r>
          </w:p>
        </w:tc>
        <w:tc>
          <w:tcPr>
            <w:tcW w:w="994" w:type="dxa"/>
            <w:tcBorders>
              <w:top w:val="single" w:sz="4" w:space="0" w:color="808080"/>
              <w:left w:val="single" w:sz="4" w:space="0" w:color="808080"/>
              <w:bottom w:val="single" w:sz="4" w:space="0" w:color="BDD6EE"/>
              <w:right w:val="single" w:sz="4" w:space="0" w:color="BDD6EE"/>
            </w:tcBorders>
            <w:vAlign w:val="center"/>
            <w:hideMark/>
          </w:tcPr>
          <w:p w:rsidR="005F5522" w:rsidRPr="005F5522" w:rsidRDefault="005F5522" w:rsidP="005F5522">
            <w:pPr>
              <w:widowControl w:val="0"/>
              <w:autoSpaceDE w:val="0"/>
              <w:autoSpaceDN w:val="0"/>
              <w:adjustRightInd w:val="0"/>
              <w:spacing w:after="240"/>
              <w:jc w:val="right"/>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Max 12% </w:t>
            </w:r>
          </w:p>
        </w:tc>
        <w:tc>
          <w:tcPr>
            <w:tcW w:w="1373" w:type="dxa"/>
            <w:tcBorders>
              <w:top w:val="single" w:sz="4" w:space="0" w:color="808080"/>
              <w:left w:val="single" w:sz="4" w:space="0" w:color="808080"/>
              <w:bottom w:val="single" w:sz="4" w:space="0" w:color="BDD6EE"/>
              <w:right w:val="single" w:sz="4" w:space="0" w:color="BDD6EE"/>
            </w:tcBorders>
            <w:vAlign w:val="center"/>
            <w:hideMark/>
          </w:tcPr>
          <w:p w:rsidR="005F5522" w:rsidRPr="005F5522" w:rsidRDefault="005F5522" w:rsidP="005F5522">
            <w:pPr>
              <w:widowControl w:val="0"/>
              <w:autoSpaceDE w:val="0"/>
              <w:autoSpaceDN w:val="0"/>
              <w:adjustRightInd w:val="0"/>
              <w:spacing w:after="240"/>
              <w:jc w:val="right"/>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Max 12% </w:t>
            </w:r>
          </w:p>
        </w:tc>
        <w:tc>
          <w:tcPr>
            <w:tcW w:w="0" w:type="auto"/>
            <w:tcBorders>
              <w:top w:val="single" w:sz="4" w:space="0" w:color="808080"/>
              <w:left w:val="single" w:sz="4" w:space="0" w:color="808080"/>
              <w:bottom w:val="single" w:sz="4" w:space="0" w:color="BDD6EE"/>
              <w:right w:val="single" w:sz="4" w:space="0" w:color="BDD6EE"/>
            </w:tcBorders>
            <w:vAlign w:val="center"/>
            <w:hideMark/>
          </w:tcPr>
          <w:p w:rsidR="005F5522" w:rsidRPr="005F5522" w:rsidRDefault="005F5522" w:rsidP="005F5522">
            <w:pPr>
              <w:widowControl w:val="0"/>
              <w:autoSpaceDE w:val="0"/>
              <w:autoSpaceDN w:val="0"/>
              <w:adjustRightInd w:val="0"/>
              <w:spacing w:after="240"/>
              <w:jc w:val="right"/>
              <w:rPr>
                <w:rFonts w:ascii="Calibri" w:eastAsia="Verdana,Tahoma" w:hAnsi="Calibri" w:cs="Verdana,Tahoma"/>
                <w:sz w:val="15"/>
                <w:szCs w:val="15"/>
                <w:lang w:eastAsia="en-US"/>
              </w:rPr>
            </w:pPr>
            <w:r w:rsidRPr="005F5522">
              <w:rPr>
                <w:rFonts w:ascii="Calibri" w:eastAsia="Verdana,Tahoma" w:hAnsi="Calibri" w:cs="Verdana,Tahoma"/>
                <w:sz w:val="15"/>
                <w:szCs w:val="15"/>
                <w:lang w:eastAsia="en-US"/>
              </w:rPr>
              <w:t>Max 12% </w:t>
            </w:r>
          </w:p>
        </w:tc>
      </w:tr>
    </w:tbl>
    <w:p w:rsidR="005F5522" w:rsidRPr="005F5522" w:rsidRDefault="005F5522" w:rsidP="005F5522">
      <w:pPr>
        <w:rPr>
          <w:rFonts w:ascii="Calibri" w:eastAsia="Calibri" w:hAnsi="Calibri"/>
          <w:sz w:val="15"/>
          <w:szCs w:val="15"/>
        </w:rPr>
      </w:pPr>
    </w:p>
    <w:p w:rsidR="005518DF" w:rsidRDefault="005518DF" w:rsidP="00AC46CA">
      <w:pPr>
        <w:ind w:firstLine="720"/>
        <w:jc w:val="both"/>
        <w:rPr>
          <w:sz w:val="24"/>
          <w:szCs w:val="24"/>
        </w:rPr>
      </w:pPr>
    </w:p>
    <w:p w:rsidR="005F5522" w:rsidRDefault="005518DF" w:rsidP="00AC46CA">
      <w:pPr>
        <w:ind w:firstLine="720"/>
        <w:jc w:val="both"/>
        <w:rPr>
          <w:sz w:val="24"/>
          <w:szCs w:val="24"/>
        </w:rPr>
      </w:pPr>
      <w:r>
        <w:rPr>
          <w:sz w:val="24"/>
          <w:szCs w:val="24"/>
        </w:rPr>
        <w:t>Tanto premesso, i</w:t>
      </w:r>
      <w:r w:rsidR="005F5522" w:rsidRPr="005F5522">
        <w:rPr>
          <w:sz w:val="24"/>
          <w:szCs w:val="24"/>
        </w:rPr>
        <w:t xml:space="preserve">l Senato Accademico e il Consiglio di Amministrazione, nelle sedute del 7 dicembre u.s., hanno approvato </w:t>
      </w:r>
      <w:r>
        <w:rPr>
          <w:sz w:val="24"/>
          <w:szCs w:val="24"/>
        </w:rPr>
        <w:t xml:space="preserve">gli </w:t>
      </w:r>
      <w:r w:rsidR="005F5522" w:rsidRPr="005F5522">
        <w:rPr>
          <w:sz w:val="24"/>
          <w:szCs w:val="24"/>
        </w:rPr>
        <w:t xml:space="preserve">obiettivi, </w:t>
      </w:r>
      <w:r>
        <w:rPr>
          <w:sz w:val="24"/>
          <w:szCs w:val="24"/>
        </w:rPr>
        <w:t xml:space="preserve">le </w:t>
      </w:r>
      <w:r w:rsidR="005F5522" w:rsidRPr="005F5522">
        <w:rPr>
          <w:sz w:val="24"/>
          <w:szCs w:val="24"/>
        </w:rPr>
        <w:t xml:space="preserve">azioni, </w:t>
      </w:r>
      <w:r>
        <w:rPr>
          <w:sz w:val="24"/>
          <w:szCs w:val="24"/>
        </w:rPr>
        <w:t xml:space="preserve">gli </w:t>
      </w:r>
      <w:r w:rsidR="005F5522" w:rsidRPr="005F5522">
        <w:rPr>
          <w:sz w:val="24"/>
          <w:szCs w:val="24"/>
        </w:rPr>
        <w:t xml:space="preserve">indicatori e </w:t>
      </w:r>
      <w:r>
        <w:rPr>
          <w:sz w:val="24"/>
          <w:szCs w:val="24"/>
        </w:rPr>
        <w:t xml:space="preserve">i </w:t>
      </w:r>
      <w:r w:rsidR="005F5522" w:rsidRPr="005F5522">
        <w:rPr>
          <w:i/>
          <w:sz w:val="24"/>
          <w:szCs w:val="24"/>
        </w:rPr>
        <w:t>target</w:t>
      </w:r>
      <w:r>
        <w:rPr>
          <w:sz w:val="24"/>
          <w:szCs w:val="24"/>
        </w:rPr>
        <w:t xml:space="preserve"> per il triennio 2016-2018 indicati nella seguente </w:t>
      </w:r>
      <w:r w:rsidRPr="005518DF">
        <w:rPr>
          <w:i/>
          <w:sz w:val="24"/>
          <w:szCs w:val="24"/>
        </w:rPr>
        <w:t>Tabella 5</w:t>
      </w:r>
      <w:r>
        <w:rPr>
          <w:sz w:val="24"/>
          <w:szCs w:val="24"/>
        </w:rPr>
        <w:t>.</w:t>
      </w:r>
    </w:p>
    <w:p w:rsidR="005518DF" w:rsidRDefault="005518DF" w:rsidP="00AC46CA">
      <w:pPr>
        <w:ind w:firstLine="720"/>
        <w:jc w:val="both"/>
        <w:rPr>
          <w:sz w:val="24"/>
          <w:szCs w:val="24"/>
        </w:rPr>
      </w:pPr>
    </w:p>
    <w:p w:rsidR="005518DF" w:rsidRDefault="005518DF" w:rsidP="00AC46CA">
      <w:pPr>
        <w:ind w:firstLine="720"/>
        <w:jc w:val="both"/>
        <w:rPr>
          <w:sz w:val="24"/>
          <w:szCs w:val="24"/>
        </w:rPr>
      </w:pPr>
    </w:p>
    <w:p w:rsidR="005518DF" w:rsidRPr="005F5522" w:rsidRDefault="005518DF" w:rsidP="00AC46CA">
      <w:pPr>
        <w:ind w:firstLine="720"/>
        <w:jc w:val="both"/>
        <w:rPr>
          <w:sz w:val="24"/>
          <w:szCs w:val="24"/>
        </w:rPr>
      </w:pPr>
      <w:r>
        <w:rPr>
          <w:i/>
        </w:rPr>
        <w:t>Tabella 5: Obiettivi – azioni – indicatori - target</w:t>
      </w:r>
    </w:p>
    <w:p w:rsidR="005F5522" w:rsidRPr="005F5522" w:rsidRDefault="005F5522" w:rsidP="005F5522">
      <w:pPr>
        <w:shd w:val="clear" w:color="auto" w:fill="FFFFFF"/>
        <w:jc w:val="both"/>
        <w:rPr>
          <w:rFonts w:ascii="Calibri" w:eastAsia="Calibri" w:hAnsi="Calibri"/>
          <w:sz w:val="18"/>
          <w:szCs w:val="18"/>
        </w:rPr>
      </w:pPr>
      <w:r w:rsidRPr="005F5522">
        <w:rPr>
          <w:rFonts w:ascii="Calibri" w:eastAsia="Calibri" w:hAnsi="Calibri"/>
          <w:sz w:val="18"/>
          <w:szCs w:val="18"/>
        </w:rPr>
        <w:t> </w:t>
      </w:r>
    </w:p>
    <w:tbl>
      <w:tblPr>
        <w:tblW w:w="0" w:type="auto"/>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6734"/>
        <w:gridCol w:w="662"/>
        <w:gridCol w:w="1179"/>
        <w:gridCol w:w="1074"/>
      </w:tblGrid>
      <w:tr w:rsidR="005F5522" w:rsidRPr="005F5522" w:rsidTr="005F5522">
        <w:tc>
          <w:tcPr>
            <w:tcW w:w="0" w:type="auto"/>
            <w:gridSpan w:val="4"/>
            <w:tcBorders>
              <w:top w:val="single" w:sz="4" w:space="0" w:color="5B9BD5"/>
              <w:left w:val="single" w:sz="4" w:space="0" w:color="5B9BD5"/>
              <w:bottom w:val="single" w:sz="4" w:space="0" w:color="808080"/>
              <w:right w:val="single" w:sz="4" w:space="0" w:color="5B9BD5"/>
            </w:tcBorders>
            <w:shd w:val="clear" w:color="auto" w:fill="FFF2CC"/>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 xml:space="preserve">Obiettivo B: </w:t>
            </w:r>
            <w:r w:rsidRPr="005F5522">
              <w:rPr>
                <w:rFonts w:ascii="Calibri" w:eastAsia="Calibri" w:hAnsi="Calibri"/>
                <w:i/>
                <w:iCs/>
                <w:sz w:val="18"/>
                <w:szCs w:val="18"/>
              </w:rPr>
              <w:t>“Modernizzazione ambienti di studio e ricerca, innovazione e metodologie didattiche”</w:t>
            </w:r>
            <w:r w:rsidRPr="005F5522">
              <w:rPr>
                <w:rFonts w:ascii="Calibri" w:eastAsia="Calibri" w:hAnsi="Calibri"/>
                <w:sz w:val="18"/>
                <w:szCs w:val="18"/>
              </w:rPr>
              <w:t> </w:t>
            </w:r>
          </w:p>
        </w:tc>
      </w:tr>
      <w:tr w:rsidR="005F5522" w:rsidRPr="005F5522" w:rsidTr="005518DF">
        <w:tc>
          <w:tcPr>
            <w:tcW w:w="0" w:type="auto"/>
            <w:gridSpan w:val="4"/>
            <w:tcBorders>
              <w:top w:val="single" w:sz="4" w:space="0" w:color="808080"/>
              <w:left w:val="single" w:sz="4" w:space="0" w:color="5B9BD5"/>
              <w:bottom w:val="single" w:sz="4" w:space="0" w:color="5B9BD5"/>
              <w:right w:val="single" w:sz="4" w:space="0" w:color="5B9BD5"/>
            </w:tcBorders>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Azione a) Allestimento e/o attrezzature per la didattica </w:t>
            </w:r>
          </w:p>
        </w:tc>
      </w:tr>
      <w:tr w:rsidR="005F5522" w:rsidRPr="005F5522" w:rsidTr="005518DF">
        <w:tc>
          <w:tcPr>
            <w:tcW w:w="0" w:type="auto"/>
            <w:vMerge w:val="restart"/>
            <w:tcBorders>
              <w:top w:val="single" w:sz="4" w:space="0" w:color="808080"/>
              <w:left w:val="single" w:sz="4" w:space="0" w:color="5B9BD5"/>
              <w:bottom w:val="single" w:sz="4" w:space="0" w:color="5B9BD5"/>
              <w:right w:val="single" w:sz="4" w:space="0" w:color="5B9BD5"/>
            </w:tcBorders>
            <w:vAlign w:val="center"/>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Indicatore 1 – Percentuale di giudizi positivi dei laureati relativi alle dotazioni disponibili per la didattica – postazioni informatiche; </w:t>
            </w:r>
          </w:p>
        </w:tc>
        <w:tc>
          <w:tcPr>
            <w:tcW w:w="0" w:type="auto"/>
            <w:tcBorders>
              <w:top w:val="single" w:sz="4" w:space="0" w:color="808080"/>
              <w:left w:val="single" w:sz="4" w:space="0" w:color="808080"/>
              <w:bottom w:val="single" w:sz="4" w:space="0" w:color="5B9BD5"/>
              <w:right w:val="single" w:sz="4" w:space="0" w:color="5B9BD5"/>
            </w:tcBorders>
            <w:vAlign w:val="center"/>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Baseline </w:t>
            </w:r>
          </w:p>
        </w:tc>
        <w:tc>
          <w:tcPr>
            <w:tcW w:w="0" w:type="auto"/>
            <w:tcBorders>
              <w:top w:val="single" w:sz="4" w:space="0" w:color="808080"/>
              <w:left w:val="single" w:sz="4" w:space="0" w:color="808080"/>
              <w:bottom w:val="single" w:sz="4" w:space="0" w:color="5B9BD5"/>
              <w:right w:val="single" w:sz="4" w:space="0" w:color="5B9BD5"/>
            </w:tcBorders>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Target intermedio </w:t>
            </w:r>
          </w:p>
        </w:tc>
        <w:tc>
          <w:tcPr>
            <w:tcW w:w="0" w:type="auto"/>
            <w:tcBorders>
              <w:top w:val="single" w:sz="4" w:space="0" w:color="808080"/>
              <w:left w:val="single" w:sz="4" w:space="0" w:color="808080"/>
              <w:bottom w:val="single" w:sz="4" w:space="0" w:color="5B9BD5"/>
              <w:right w:val="single" w:sz="4" w:space="0" w:color="5B9BD5"/>
            </w:tcBorders>
            <w:vAlign w:val="center"/>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Target finale 2018 </w:t>
            </w:r>
          </w:p>
        </w:tc>
      </w:tr>
      <w:tr w:rsidR="005F5522" w:rsidRPr="005F5522" w:rsidTr="005518DF">
        <w:trPr>
          <w:trHeight w:val="222"/>
        </w:trPr>
        <w:tc>
          <w:tcPr>
            <w:tcW w:w="0" w:type="auto"/>
            <w:vMerge/>
            <w:tcBorders>
              <w:top w:val="single" w:sz="4" w:space="0" w:color="808080"/>
              <w:left w:val="single" w:sz="4" w:space="0" w:color="5B9BD5"/>
              <w:bottom w:val="single" w:sz="4" w:space="0" w:color="5B9BD5"/>
              <w:right w:val="single" w:sz="4" w:space="0" w:color="5B9BD5"/>
            </w:tcBorders>
            <w:vAlign w:val="center"/>
            <w:hideMark/>
          </w:tcPr>
          <w:p w:rsidR="005F5522" w:rsidRPr="005F5522" w:rsidRDefault="005F5522" w:rsidP="005F5522">
            <w:pPr>
              <w:rPr>
                <w:rFonts w:ascii="Calibri" w:eastAsia="Calibri" w:hAnsi="Calibri"/>
                <w:sz w:val="18"/>
                <w:szCs w:val="18"/>
              </w:rPr>
            </w:pPr>
          </w:p>
        </w:tc>
        <w:tc>
          <w:tcPr>
            <w:tcW w:w="0" w:type="auto"/>
            <w:tcBorders>
              <w:top w:val="single" w:sz="4" w:space="0" w:color="808080"/>
              <w:left w:val="single" w:sz="4" w:space="0" w:color="808080"/>
              <w:bottom w:val="single" w:sz="4" w:space="0" w:color="5B9BD5"/>
              <w:right w:val="single" w:sz="4" w:space="0" w:color="5B9BD5"/>
            </w:tcBorders>
            <w:vAlign w:val="center"/>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11,5% </w:t>
            </w:r>
          </w:p>
        </w:tc>
        <w:tc>
          <w:tcPr>
            <w:tcW w:w="0" w:type="auto"/>
            <w:tcBorders>
              <w:top w:val="single" w:sz="4" w:space="0" w:color="808080"/>
              <w:left w:val="single" w:sz="4" w:space="0" w:color="808080"/>
              <w:bottom w:val="single" w:sz="4" w:space="0" w:color="5B9BD5"/>
              <w:right w:val="single" w:sz="4" w:space="0" w:color="5B9BD5"/>
            </w:tcBorders>
            <w:vAlign w:val="center"/>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12,31 % </w:t>
            </w:r>
          </w:p>
        </w:tc>
        <w:tc>
          <w:tcPr>
            <w:tcW w:w="0" w:type="auto"/>
            <w:tcBorders>
              <w:top w:val="single" w:sz="4" w:space="0" w:color="808080"/>
              <w:left w:val="single" w:sz="4" w:space="0" w:color="808080"/>
              <w:bottom w:val="single" w:sz="4" w:space="0" w:color="5B9BD5"/>
              <w:right w:val="single" w:sz="4" w:space="0" w:color="5B9BD5"/>
            </w:tcBorders>
            <w:vAlign w:val="center"/>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13,29% </w:t>
            </w:r>
          </w:p>
        </w:tc>
      </w:tr>
      <w:tr w:rsidR="005F5522" w:rsidRPr="005F5522" w:rsidTr="005518DF">
        <w:tc>
          <w:tcPr>
            <w:tcW w:w="0" w:type="auto"/>
            <w:gridSpan w:val="4"/>
            <w:tcBorders>
              <w:top w:val="single" w:sz="4" w:space="0" w:color="808080"/>
              <w:left w:val="single" w:sz="4" w:space="0" w:color="5B9BD5"/>
              <w:bottom w:val="single" w:sz="4" w:space="0" w:color="5B9BD5"/>
              <w:right w:val="single" w:sz="4" w:space="0" w:color="5B9BD5"/>
            </w:tcBorders>
            <w:shd w:val="clear" w:color="auto" w:fill="DEEAF6"/>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Obiettivo C “</w:t>
            </w:r>
            <w:r w:rsidRPr="005F5522">
              <w:rPr>
                <w:rFonts w:ascii="Calibri" w:eastAsia="Calibri" w:hAnsi="Calibri"/>
                <w:i/>
                <w:iCs/>
                <w:sz w:val="18"/>
                <w:szCs w:val="18"/>
              </w:rPr>
              <w:t xml:space="preserve">Giovani ricercatori e premi per merito ai </w:t>
            </w:r>
            <w:r w:rsidRPr="00241AB7">
              <w:rPr>
                <w:rFonts w:ascii="Calibri" w:eastAsia="Calibri" w:hAnsi="Calibri"/>
                <w:i/>
                <w:iCs/>
                <w:sz w:val="18"/>
                <w:szCs w:val="18"/>
              </w:rPr>
              <w:t>docenti</w:t>
            </w:r>
            <w:r w:rsidRPr="00241AB7">
              <w:rPr>
                <w:rFonts w:ascii="Calibri" w:eastAsia="Calibri" w:hAnsi="Calibri"/>
                <w:sz w:val="18"/>
                <w:szCs w:val="18"/>
              </w:rPr>
              <w:t>” (con cofinanziamento obbligatorio dell’Ateneo al 50%)</w:t>
            </w:r>
          </w:p>
        </w:tc>
      </w:tr>
      <w:tr w:rsidR="005F5522" w:rsidRPr="005F5522" w:rsidTr="005518DF">
        <w:tc>
          <w:tcPr>
            <w:tcW w:w="0" w:type="auto"/>
            <w:gridSpan w:val="4"/>
            <w:tcBorders>
              <w:top w:val="single" w:sz="4" w:space="0" w:color="808080"/>
              <w:left w:val="single" w:sz="4" w:space="0" w:color="5B9BD5"/>
              <w:bottom w:val="single" w:sz="4" w:space="0" w:color="5B9BD5"/>
              <w:right w:val="single" w:sz="4" w:space="0" w:color="5B9BD5"/>
            </w:tcBorders>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Azione c) Integrazione del fondo per la premialità dei docenti universitari ai sensi dell’art. 9, secondo periodo, della L. n. 240/2010 </w:t>
            </w:r>
          </w:p>
        </w:tc>
      </w:tr>
      <w:tr w:rsidR="005F5522" w:rsidRPr="005F5522" w:rsidTr="005518DF">
        <w:tc>
          <w:tcPr>
            <w:tcW w:w="0" w:type="auto"/>
            <w:vMerge w:val="restart"/>
            <w:tcBorders>
              <w:top w:val="single" w:sz="4" w:space="0" w:color="808080"/>
              <w:left w:val="single" w:sz="4" w:space="0" w:color="5B9BD5"/>
              <w:bottom w:val="single" w:sz="4" w:space="0" w:color="5B9BD5"/>
              <w:right w:val="single" w:sz="4" w:space="0" w:color="5B9BD5"/>
            </w:tcBorders>
            <w:vAlign w:val="center"/>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Indicatore 1 - Importo medio annuo del premio per docenti &gt; € 4.000 lordi; </w:t>
            </w:r>
          </w:p>
        </w:tc>
        <w:tc>
          <w:tcPr>
            <w:tcW w:w="0" w:type="auto"/>
            <w:tcBorders>
              <w:top w:val="single" w:sz="4" w:space="0" w:color="808080"/>
              <w:left w:val="single" w:sz="4" w:space="0" w:color="808080"/>
              <w:bottom w:val="single" w:sz="4" w:space="0" w:color="5B9BD5"/>
              <w:right w:val="single" w:sz="4" w:space="0" w:color="5B9BD5"/>
            </w:tcBorders>
            <w:vAlign w:val="center"/>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Baseline </w:t>
            </w:r>
          </w:p>
        </w:tc>
        <w:tc>
          <w:tcPr>
            <w:tcW w:w="0" w:type="auto"/>
            <w:tcBorders>
              <w:top w:val="single" w:sz="4" w:space="0" w:color="808080"/>
              <w:left w:val="single" w:sz="4" w:space="0" w:color="808080"/>
              <w:bottom w:val="single" w:sz="4" w:space="0" w:color="5B9BD5"/>
              <w:right w:val="single" w:sz="4" w:space="0" w:color="5B9BD5"/>
            </w:tcBorders>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Target intermedio </w:t>
            </w:r>
          </w:p>
        </w:tc>
        <w:tc>
          <w:tcPr>
            <w:tcW w:w="0" w:type="auto"/>
            <w:tcBorders>
              <w:top w:val="single" w:sz="4" w:space="0" w:color="808080"/>
              <w:left w:val="single" w:sz="4" w:space="0" w:color="808080"/>
              <w:bottom w:val="single" w:sz="4" w:space="0" w:color="5B9BD5"/>
              <w:right w:val="single" w:sz="4" w:space="0" w:color="5B9BD5"/>
            </w:tcBorders>
            <w:vAlign w:val="center"/>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Target finale 2018 </w:t>
            </w:r>
          </w:p>
        </w:tc>
      </w:tr>
      <w:tr w:rsidR="005F5522" w:rsidRPr="005F5522" w:rsidTr="005518DF">
        <w:tc>
          <w:tcPr>
            <w:tcW w:w="0" w:type="auto"/>
            <w:vMerge/>
            <w:tcBorders>
              <w:top w:val="single" w:sz="4" w:space="0" w:color="808080"/>
              <w:left w:val="single" w:sz="4" w:space="0" w:color="5B9BD5"/>
              <w:bottom w:val="single" w:sz="4" w:space="0" w:color="5B9BD5"/>
              <w:right w:val="single" w:sz="4" w:space="0" w:color="5B9BD5"/>
            </w:tcBorders>
            <w:vAlign w:val="center"/>
            <w:hideMark/>
          </w:tcPr>
          <w:p w:rsidR="005F5522" w:rsidRPr="005F5522" w:rsidRDefault="005F5522" w:rsidP="005F5522">
            <w:pPr>
              <w:rPr>
                <w:rFonts w:ascii="Calibri" w:eastAsia="Calibri" w:hAnsi="Calibri"/>
                <w:sz w:val="18"/>
                <w:szCs w:val="18"/>
              </w:rPr>
            </w:pPr>
          </w:p>
        </w:tc>
        <w:tc>
          <w:tcPr>
            <w:tcW w:w="0" w:type="auto"/>
            <w:tcBorders>
              <w:top w:val="single" w:sz="4" w:space="0" w:color="808080"/>
              <w:left w:val="single" w:sz="4" w:space="0" w:color="808080"/>
              <w:bottom w:val="single" w:sz="4" w:space="0" w:color="5B9BD5"/>
              <w:right w:val="single" w:sz="4" w:space="0" w:color="5B9BD5"/>
            </w:tcBorders>
            <w:vAlign w:val="center"/>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NO </w:t>
            </w:r>
          </w:p>
        </w:tc>
        <w:tc>
          <w:tcPr>
            <w:tcW w:w="0" w:type="auto"/>
            <w:tcBorders>
              <w:top w:val="single" w:sz="4" w:space="0" w:color="808080"/>
              <w:left w:val="single" w:sz="4" w:space="0" w:color="808080"/>
              <w:bottom w:val="single" w:sz="4" w:space="0" w:color="5B9BD5"/>
              <w:right w:val="single" w:sz="4" w:space="0" w:color="5B9BD5"/>
            </w:tcBorders>
            <w:vAlign w:val="center"/>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 xml:space="preserve">SI </w:t>
            </w:r>
            <w:r w:rsidRPr="005F5522">
              <w:rPr>
                <w:rFonts w:ascii="Calibri" w:eastAsia="Calibri" w:hAnsi="Calibri"/>
                <w:sz w:val="18"/>
                <w:szCs w:val="18"/>
                <w:vertAlign w:val="superscript"/>
              </w:rPr>
              <w:t>(</w:t>
            </w:r>
            <w:r w:rsidRPr="005F5522">
              <w:rPr>
                <w:rFonts w:ascii="Calibri" w:eastAsia="Calibri" w:hAnsi="Calibri"/>
                <w:sz w:val="18"/>
                <w:szCs w:val="18"/>
              </w:rPr>
              <w:t>*</w:t>
            </w:r>
            <w:r w:rsidRPr="005F5522">
              <w:rPr>
                <w:rFonts w:ascii="Calibri" w:eastAsia="Calibri" w:hAnsi="Calibri"/>
                <w:sz w:val="18"/>
                <w:szCs w:val="18"/>
                <w:vertAlign w:val="superscript"/>
              </w:rPr>
              <w:t>)</w:t>
            </w:r>
            <w:r w:rsidRPr="005F5522">
              <w:rPr>
                <w:rFonts w:ascii="Calibri" w:eastAsia="Calibri" w:hAnsi="Calibri"/>
                <w:sz w:val="18"/>
                <w:szCs w:val="18"/>
              </w:rPr>
              <w:t> </w:t>
            </w:r>
          </w:p>
        </w:tc>
        <w:tc>
          <w:tcPr>
            <w:tcW w:w="0" w:type="auto"/>
            <w:tcBorders>
              <w:top w:val="single" w:sz="4" w:space="0" w:color="808080"/>
              <w:left w:val="single" w:sz="4" w:space="0" w:color="808080"/>
              <w:bottom w:val="single" w:sz="4" w:space="0" w:color="5B9BD5"/>
              <w:right w:val="single" w:sz="4" w:space="0" w:color="5B9BD5"/>
            </w:tcBorders>
            <w:vAlign w:val="center"/>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 xml:space="preserve">SI </w:t>
            </w:r>
            <w:r w:rsidRPr="005F5522">
              <w:rPr>
                <w:rFonts w:ascii="Calibri" w:eastAsia="Calibri" w:hAnsi="Calibri"/>
                <w:sz w:val="18"/>
                <w:szCs w:val="18"/>
                <w:vertAlign w:val="superscript"/>
              </w:rPr>
              <w:t>(</w:t>
            </w:r>
            <w:r w:rsidRPr="005F5522">
              <w:rPr>
                <w:rFonts w:ascii="Calibri" w:eastAsia="Calibri" w:hAnsi="Calibri"/>
                <w:sz w:val="18"/>
                <w:szCs w:val="18"/>
              </w:rPr>
              <w:t>*</w:t>
            </w:r>
            <w:r w:rsidRPr="005F5522">
              <w:rPr>
                <w:rFonts w:ascii="Calibri" w:eastAsia="Calibri" w:hAnsi="Calibri"/>
                <w:sz w:val="18"/>
                <w:szCs w:val="18"/>
                <w:vertAlign w:val="superscript"/>
              </w:rPr>
              <w:t>)</w:t>
            </w:r>
            <w:r w:rsidRPr="005F5522">
              <w:rPr>
                <w:rFonts w:ascii="Calibri" w:eastAsia="Calibri" w:hAnsi="Calibri"/>
                <w:sz w:val="18"/>
                <w:szCs w:val="18"/>
              </w:rPr>
              <w:t> </w:t>
            </w:r>
          </w:p>
        </w:tc>
      </w:tr>
      <w:tr w:rsidR="005F5522" w:rsidRPr="005F5522" w:rsidTr="005518DF">
        <w:tc>
          <w:tcPr>
            <w:tcW w:w="0" w:type="auto"/>
            <w:gridSpan w:val="4"/>
            <w:tcBorders>
              <w:top w:val="single" w:sz="4" w:space="0" w:color="808080"/>
              <w:left w:val="single" w:sz="4" w:space="0" w:color="5B9BD5"/>
              <w:bottom w:val="single" w:sz="4" w:space="0" w:color="5B9BD5"/>
              <w:right w:val="single" w:sz="4" w:space="0" w:color="5B9BD5"/>
            </w:tcBorders>
            <w:shd w:val="clear" w:color="auto" w:fill="DEEAF6"/>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Obiettivo D “</w:t>
            </w:r>
            <w:r w:rsidRPr="005F5522">
              <w:rPr>
                <w:rFonts w:ascii="Calibri" w:eastAsia="Calibri" w:hAnsi="Calibri"/>
                <w:i/>
                <w:iCs/>
                <w:sz w:val="18"/>
                <w:szCs w:val="18"/>
              </w:rPr>
              <w:t>Valorizzazione dell’autonomia responsabile</w:t>
            </w:r>
            <w:r w:rsidRPr="005F5522">
              <w:rPr>
                <w:rFonts w:ascii="Calibri" w:eastAsia="Calibri" w:hAnsi="Calibri"/>
                <w:sz w:val="18"/>
                <w:szCs w:val="18"/>
              </w:rPr>
              <w:t>” </w:t>
            </w:r>
          </w:p>
        </w:tc>
      </w:tr>
      <w:tr w:rsidR="005F5522" w:rsidRPr="005F5522" w:rsidTr="005518DF">
        <w:tc>
          <w:tcPr>
            <w:tcW w:w="0" w:type="auto"/>
            <w:gridSpan w:val="4"/>
            <w:tcBorders>
              <w:top w:val="single" w:sz="4" w:space="0" w:color="808080"/>
              <w:left w:val="single" w:sz="4" w:space="0" w:color="5B9BD5"/>
              <w:bottom w:val="single" w:sz="4" w:space="0" w:color="5B9BD5"/>
              <w:right w:val="single" w:sz="4" w:space="0" w:color="5B9BD5"/>
            </w:tcBorders>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Gruppo 1 “Indicatori relativi alla qualità dell’ambiente di ricerca” </w:t>
            </w:r>
          </w:p>
        </w:tc>
      </w:tr>
      <w:tr w:rsidR="005F5522" w:rsidRPr="005F5522" w:rsidTr="005518DF">
        <w:tc>
          <w:tcPr>
            <w:tcW w:w="0" w:type="auto"/>
            <w:vMerge w:val="restart"/>
            <w:tcBorders>
              <w:top w:val="single" w:sz="4" w:space="0" w:color="808080"/>
              <w:left w:val="single" w:sz="4" w:space="0" w:color="5B9BD5"/>
              <w:bottom w:val="single" w:sz="4" w:space="0" w:color="5B9BD5"/>
              <w:right w:val="single" w:sz="4" w:space="0" w:color="5B9BD5"/>
            </w:tcBorders>
            <w:vAlign w:val="center"/>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Indicatore 1 - Indice di qualità media dei collegi di dottorato (R+X medio di Ateneo); </w:t>
            </w:r>
          </w:p>
        </w:tc>
        <w:tc>
          <w:tcPr>
            <w:tcW w:w="0" w:type="auto"/>
            <w:tcBorders>
              <w:top w:val="single" w:sz="4" w:space="0" w:color="808080"/>
              <w:left w:val="single" w:sz="4" w:space="0" w:color="808080"/>
              <w:bottom w:val="single" w:sz="4" w:space="0" w:color="5B9BD5"/>
              <w:right w:val="single" w:sz="4" w:space="0" w:color="5B9BD5"/>
            </w:tcBorders>
            <w:vAlign w:val="center"/>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Baseline </w:t>
            </w:r>
          </w:p>
        </w:tc>
        <w:tc>
          <w:tcPr>
            <w:tcW w:w="0" w:type="auto"/>
            <w:tcBorders>
              <w:top w:val="single" w:sz="4" w:space="0" w:color="808080"/>
              <w:left w:val="single" w:sz="4" w:space="0" w:color="808080"/>
              <w:bottom w:val="single" w:sz="4" w:space="0" w:color="5B9BD5"/>
              <w:right w:val="single" w:sz="4" w:space="0" w:color="5B9BD5"/>
            </w:tcBorders>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Target intermedio </w:t>
            </w:r>
          </w:p>
        </w:tc>
        <w:tc>
          <w:tcPr>
            <w:tcW w:w="0" w:type="auto"/>
            <w:tcBorders>
              <w:top w:val="single" w:sz="4" w:space="0" w:color="808080"/>
              <w:left w:val="single" w:sz="4" w:space="0" w:color="808080"/>
              <w:bottom w:val="single" w:sz="4" w:space="0" w:color="5B9BD5"/>
              <w:right w:val="single" w:sz="4" w:space="0" w:color="5B9BD5"/>
            </w:tcBorders>
            <w:vAlign w:val="center"/>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Target finale 2018 </w:t>
            </w:r>
          </w:p>
        </w:tc>
      </w:tr>
      <w:tr w:rsidR="005F5522" w:rsidRPr="005F5522" w:rsidTr="005518DF">
        <w:tc>
          <w:tcPr>
            <w:tcW w:w="0" w:type="auto"/>
            <w:vMerge/>
            <w:tcBorders>
              <w:top w:val="single" w:sz="4" w:space="0" w:color="808080"/>
              <w:left w:val="single" w:sz="4" w:space="0" w:color="5B9BD5"/>
              <w:bottom w:val="single" w:sz="4" w:space="0" w:color="5B9BD5"/>
              <w:right w:val="single" w:sz="4" w:space="0" w:color="5B9BD5"/>
            </w:tcBorders>
            <w:vAlign w:val="center"/>
            <w:hideMark/>
          </w:tcPr>
          <w:p w:rsidR="005F5522" w:rsidRPr="005F5522" w:rsidRDefault="005F5522" w:rsidP="005F5522">
            <w:pPr>
              <w:rPr>
                <w:rFonts w:ascii="Calibri" w:eastAsia="Calibri" w:hAnsi="Calibri"/>
                <w:sz w:val="18"/>
                <w:szCs w:val="18"/>
              </w:rPr>
            </w:pPr>
          </w:p>
        </w:tc>
        <w:tc>
          <w:tcPr>
            <w:tcW w:w="0" w:type="auto"/>
            <w:tcBorders>
              <w:top w:val="single" w:sz="4" w:space="0" w:color="808080"/>
              <w:left w:val="single" w:sz="4" w:space="0" w:color="808080"/>
              <w:bottom w:val="single" w:sz="4" w:space="0" w:color="5B9BD5"/>
              <w:right w:val="single" w:sz="4" w:space="0" w:color="5B9BD5"/>
            </w:tcBorders>
            <w:vAlign w:val="center"/>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2,325 </w:t>
            </w:r>
          </w:p>
        </w:tc>
        <w:tc>
          <w:tcPr>
            <w:tcW w:w="0" w:type="auto"/>
            <w:tcBorders>
              <w:top w:val="single" w:sz="4" w:space="0" w:color="808080"/>
              <w:left w:val="single" w:sz="4" w:space="0" w:color="808080"/>
              <w:bottom w:val="single" w:sz="4" w:space="0" w:color="5B9BD5"/>
              <w:right w:val="single" w:sz="4" w:space="0" w:color="5B9BD5"/>
            </w:tcBorders>
            <w:vAlign w:val="center"/>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2,376 </w:t>
            </w:r>
          </w:p>
        </w:tc>
        <w:tc>
          <w:tcPr>
            <w:tcW w:w="0" w:type="auto"/>
            <w:tcBorders>
              <w:top w:val="single" w:sz="4" w:space="0" w:color="808080"/>
              <w:left w:val="single" w:sz="4" w:space="0" w:color="808080"/>
              <w:bottom w:val="single" w:sz="4" w:space="0" w:color="5B9BD5"/>
              <w:right w:val="single" w:sz="4" w:space="0" w:color="5B9BD5"/>
            </w:tcBorders>
            <w:vAlign w:val="center"/>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2,424 </w:t>
            </w:r>
          </w:p>
        </w:tc>
      </w:tr>
      <w:tr w:rsidR="005F5522" w:rsidRPr="005F5522" w:rsidTr="005518DF">
        <w:tc>
          <w:tcPr>
            <w:tcW w:w="0" w:type="auto"/>
            <w:gridSpan w:val="4"/>
            <w:tcBorders>
              <w:top w:val="single" w:sz="4" w:space="0" w:color="808080"/>
              <w:left w:val="single" w:sz="4" w:space="0" w:color="5B9BD5"/>
              <w:bottom w:val="single" w:sz="4" w:space="0" w:color="5B9BD5"/>
              <w:right w:val="single" w:sz="4" w:space="0" w:color="5B9BD5"/>
            </w:tcBorders>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Gruppo 2 “Indicatori relativi alla qualità della didattica” </w:t>
            </w:r>
          </w:p>
        </w:tc>
      </w:tr>
      <w:tr w:rsidR="005F5522" w:rsidRPr="005F5522" w:rsidTr="005518DF">
        <w:tc>
          <w:tcPr>
            <w:tcW w:w="0" w:type="auto"/>
            <w:vMerge w:val="restart"/>
            <w:tcBorders>
              <w:top w:val="single" w:sz="4" w:space="0" w:color="808080"/>
              <w:left w:val="single" w:sz="4" w:space="0" w:color="5B9BD5"/>
              <w:bottom w:val="single" w:sz="4" w:space="0" w:color="5B9BD5"/>
              <w:right w:val="single" w:sz="4" w:space="0" w:color="5B9BD5"/>
            </w:tcBorders>
            <w:vAlign w:val="center"/>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Indicatore 1 -Proporzione di studenti iscritti entro la durata normale del corso di studi che abbiano acquisito almeno 40 CFU nell'anno solare </w:t>
            </w:r>
          </w:p>
        </w:tc>
        <w:tc>
          <w:tcPr>
            <w:tcW w:w="0" w:type="auto"/>
            <w:tcBorders>
              <w:top w:val="single" w:sz="4" w:space="0" w:color="808080"/>
              <w:left w:val="single" w:sz="4" w:space="0" w:color="808080"/>
              <w:bottom w:val="single" w:sz="4" w:space="0" w:color="5B9BD5"/>
              <w:right w:val="single" w:sz="4" w:space="0" w:color="5B9BD5"/>
            </w:tcBorders>
            <w:vAlign w:val="center"/>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Baseline </w:t>
            </w:r>
          </w:p>
        </w:tc>
        <w:tc>
          <w:tcPr>
            <w:tcW w:w="0" w:type="auto"/>
            <w:tcBorders>
              <w:top w:val="single" w:sz="4" w:space="0" w:color="808080"/>
              <w:left w:val="single" w:sz="4" w:space="0" w:color="808080"/>
              <w:bottom w:val="single" w:sz="4" w:space="0" w:color="5B9BD5"/>
              <w:right w:val="single" w:sz="4" w:space="0" w:color="5B9BD5"/>
            </w:tcBorders>
            <w:vAlign w:val="center"/>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Target intermedio </w:t>
            </w:r>
          </w:p>
        </w:tc>
        <w:tc>
          <w:tcPr>
            <w:tcW w:w="0" w:type="auto"/>
            <w:tcBorders>
              <w:top w:val="single" w:sz="4" w:space="0" w:color="808080"/>
              <w:left w:val="single" w:sz="4" w:space="0" w:color="808080"/>
              <w:bottom w:val="single" w:sz="4" w:space="0" w:color="5B9BD5"/>
              <w:right w:val="single" w:sz="4" w:space="0" w:color="5B9BD5"/>
            </w:tcBorders>
            <w:vAlign w:val="center"/>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Target finale 2018 </w:t>
            </w:r>
          </w:p>
        </w:tc>
      </w:tr>
      <w:tr w:rsidR="005F5522" w:rsidRPr="005F5522" w:rsidTr="005518DF">
        <w:tc>
          <w:tcPr>
            <w:tcW w:w="0" w:type="auto"/>
            <w:vMerge/>
            <w:tcBorders>
              <w:top w:val="single" w:sz="4" w:space="0" w:color="808080"/>
              <w:left w:val="single" w:sz="4" w:space="0" w:color="5B9BD5"/>
              <w:bottom w:val="single" w:sz="4" w:space="0" w:color="5B9BD5"/>
              <w:right w:val="single" w:sz="4" w:space="0" w:color="5B9BD5"/>
            </w:tcBorders>
            <w:vAlign w:val="center"/>
            <w:hideMark/>
          </w:tcPr>
          <w:p w:rsidR="005F5522" w:rsidRPr="005F5522" w:rsidRDefault="005F5522" w:rsidP="005F5522">
            <w:pPr>
              <w:rPr>
                <w:rFonts w:ascii="Calibri" w:eastAsia="Calibri" w:hAnsi="Calibri"/>
                <w:sz w:val="18"/>
                <w:szCs w:val="18"/>
              </w:rPr>
            </w:pPr>
          </w:p>
        </w:tc>
        <w:tc>
          <w:tcPr>
            <w:tcW w:w="0" w:type="auto"/>
            <w:tcBorders>
              <w:top w:val="single" w:sz="4" w:space="0" w:color="808080"/>
              <w:left w:val="single" w:sz="4" w:space="0" w:color="808080"/>
              <w:bottom w:val="single" w:sz="4" w:space="0" w:color="5B9BD5"/>
              <w:right w:val="single" w:sz="4" w:space="0" w:color="5B9BD5"/>
            </w:tcBorders>
            <w:vAlign w:val="center"/>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0,425 </w:t>
            </w:r>
          </w:p>
        </w:tc>
        <w:tc>
          <w:tcPr>
            <w:tcW w:w="0" w:type="auto"/>
            <w:tcBorders>
              <w:top w:val="single" w:sz="4" w:space="0" w:color="808080"/>
              <w:left w:val="single" w:sz="4" w:space="0" w:color="808080"/>
              <w:bottom w:val="single" w:sz="4" w:space="0" w:color="5B9BD5"/>
              <w:right w:val="single" w:sz="4" w:space="0" w:color="5B9BD5"/>
            </w:tcBorders>
            <w:vAlign w:val="center"/>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0,459 </w:t>
            </w:r>
          </w:p>
        </w:tc>
        <w:tc>
          <w:tcPr>
            <w:tcW w:w="0" w:type="auto"/>
            <w:tcBorders>
              <w:top w:val="single" w:sz="4" w:space="0" w:color="808080"/>
              <w:left w:val="single" w:sz="4" w:space="0" w:color="808080"/>
              <w:bottom w:val="single" w:sz="4" w:space="0" w:color="5B9BD5"/>
              <w:right w:val="single" w:sz="4" w:space="0" w:color="5B9BD5"/>
            </w:tcBorders>
            <w:vAlign w:val="center"/>
            <w:hideMark/>
          </w:tcPr>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sz w:val="18"/>
                <w:szCs w:val="18"/>
              </w:rPr>
              <w:t>0,496 </w:t>
            </w:r>
          </w:p>
        </w:tc>
      </w:tr>
    </w:tbl>
    <w:p w:rsidR="005F5522" w:rsidRPr="005F5522" w:rsidRDefault="005F5522" w:rsidP="005F5522">
      <w:pPr>
        <w:shd w:val="clear" w:color="auto" w:fill="FFFFFF"/>
        <w:rPr>
          <w:rFonts w:ascii="Calibri" w:eastAsia="Calibri" w:hAnsi="Calibri"/>
          <w:sz w:val="18"/>
          <w:szCs w:val="18"/>
        </w:rPr>
      </w:pPr>
      <w:r w:rsidRPr="005F5522">
        <w:rPr>
          <w:rFonts w:ascii="Calibri" w:eastAsia="Calibri" w:hAnsi="Calibri"/>
          <w:i/>
          <w:iCs/>
          <w:sz w:val="18"/>
          <w:szCs w:val="18"/>
          <w:vertAlign w:val="superscript"/>
        </w:rPr>
        <w:t>(</w:t>
      </w:r>
      <w:r w:rsidRPr="005F5522">
        <w:rPr>
          <w:rFonts w:ascii="Calibri" w:eastAsia="Calibri" w:hAnsi="Calibri"/>
          <w:i/>
          <w:iCs/>
          <w:sz w:val="18"/>
          <w:szCs w:val="18"/>
        </w:rPr>
        <w:t>*</w:t>
      </w:r>
      <w:r w:rsidRPr="005F5522">
        <w:rPr>
          <w:rFonts w:ascii="Calibri" w:eastAsia="Calibri" w:hAnsi="Calibri"/>
          <w:i/>
          <w:iCs/>
          <w:sz w:val="18"/>
          <w:szCs w:val="18"/>
          <w:vertAlign w:val="superscript"/>
        </w:rPr>
        <w:t>)</w:t>
      </w:r>
      <w:r w:rsidRPr="005F5522">
        <w:rPr>
          <w:rFonts w:ascii="Calibri" w:eastAsia="Calibri" w:hAnsi="Calibri"/>
          <w:i/>
          <w:iCs/>
          <w:sz w:val="18"/>
          <w:szCs w:val="18"/>
        </w:rPr>
        <w:t>Predeterminato da MIUR</w:t>
      </w:r>
      <w:r w:rsidRPr="005F5522">
        <w:rPr>
          <w:rFonts w:ascii="Calibri" w:eastAsia="Calibri" w:hAnsi="Calibri"/>
          <w:sz w:val="18"/>
          <w:szCs w:val="18"/>
        </w:rPr>
        <w:t> </w:t>
      </w:r>
    </w:p>
    <w:p w:rsidR="005F5522" w:rsidRPr="005F5522" w:rsidRDefault="005F5522" w:rsidP="005F5522">
      <w:pPr>
        <w:rPr>
          <w:rFonts w:ascii="Calibri" w:eastAsia="Calibri" w:hAnsi="Calibri"/>
          <w:sz w:val="18"/>
          <w:szCs w:val="18"/>
        </w:rPr>
      </w:pPr>
    </w:p>
    <w:p w:rsidR="00037966" w:rsidRDefault="00037966" w:rsidP="005518DF">
      <w:pPr>
        <w:ind w:firstLine="720"/>
        <w:jc w:val="both"/>
        <w:rPr>
          <w:sz w:val="24"/>
          <w:szCs w:val="24"/>
        </w:rPr>
      </w:pPr>
    </w:p>
    <w:p w:rsidR="005518DF" w:rsidRDefault="005518DF" w:rsidP="005518DF">
      <w:pPr>
        <w:ind w:firstLine="720"/>
        <w:jc w:val="both"/>
        <w:rPr>
          <w:sz w:val="24"/>
          <w:szCs w:val="24"/>
        </w:rPr>
      </w:pPr>
      <w:r>
        <w:rPr>
          <w:sz w:val="24"/>
          <w:szCs w:val="24"/>
        </w:rPr>
        <w:t>In stretta correlazione con quanto enunciato</w:t>
      </w:r>
      <w:r w:rsidR="005F5522" w:rsidRPr="005F5522">
        <w:rPr>
          <w:sz w:val="24"/>
          <w:szCs w:val="24"/>
        </w:rPr>
        <w:t xml:space="preserve"> e sulla base dei costi di progetto stimati per la realizzazione degli obiettivi B e C, </w:t>
      </w:r>
      <w:r w:rsidR="00037966">
        <w:rPr>
          <w:sz w:val="24"/>
          <w:szCs w:val="24"/>
        </w:rPr>
        <w:t xml:space="preserve">in particolare </w:t>
      </w:r>
      <w:r w:rsidR="005F5522" w:rsidRPr="005F5522">
        <w:rPr>
          <w:sz w:val="24"/>
          <w:szCs w:val="24"/>
        </w:rPr>
        <w:t>sono stati all</w:t>
      </w:r>
      <w:r>
        <w:rPr>
          <w:sz w:val="24"/>
          <w:szCs w:val="24"/>
        </w:rPr>
        <w:t>ocati sul budget 20</w:t>
      </w:r>
      <w:r w:rsidR="00B150C4">
        <w:rPr>
          <w:sz w:val="24"/>
          <w:szCs w:val="24"/>
        </w:rPr>
        <w:t xml:space="preserve">17 fondi del valore complessivo </w:t>
      </w:r>
      <w:r>
        <w:rPr>
          <w:sz w:val="24"/>
          <w:szCs w:val="24"/>
        </w:rPr>
        <w:t>di</w:t>
      </w:r>
      <w:r w:rsidR="005F5522" w:rsidRPr="005F5522">
        <w:rPr>
          <w:sz w:val="24"/>
          <w:szCs w:val="24"/>
        </w:rPr>
        <w:t xml:space="preserve"> </w:t>
      </w:r>
      <w:r>
        <w:rPr>
          <w:sz w:val="24"/>
          <w:szCs w:val="24"/>
        </w:rPr>
        <w:t xml:space="preserve">€ </w:t>
      </w:r>
      <w:r w:rsidR="005F5522" w:rsidRPr="005F5522">
        <w:rPr>
          <w:sz w:val="24"/>
          <w:szCs w:val="24"/>
        </w:rPr>
        <w:t>683.670</w:t>
      </w:r>
      <w:r>
        <w:rPr>
          <w:sz w:val="24"/>
          <w:szCs w:val="24"/>
        </w:rPr>
        <w:t>,00</w:t>
      </w:r>
      <w:r w:rsidR="00037966">
        <w:rPr>
          <w:sz w:val="24"/>
          <w:szCs w:val="24"/>
        </w:rPr>
        <w:t xml:space="preserve"> </w:t>
      </w:r>
      <w:r w:rsidR="005F5522" w:rsidRPr="005F5522">
        <w:rPr>
          <w:sz w:val="24"/>
          <w:szCs w:val="24"/>
        </w:rPr>
        <w:t xml:space="preserve">per investimenti in attrezzature informatiche </w:t>
      </w:r>
      <w:r w:rsidR="00B150C4">
        <w:rPr>
          <w:sz w:val="24"/>
          <w:szCs w:val="24"/>
        </w:rPr>
        <w:t>legati all’</w:t>
      </w:r>
      <w:r w:rsidR="005F5522" w:rsidRPr="005F5522">
        <w:rPr>
          <w:sz w:val="24"/>
          <w:szCs w:val="24"/>
        </w:rPr>
        <w:t xml:space="preserve">obiettivo B. </w:t>
      </w:r>
    </w:p>
    <w:p w:rsidR="00B5547D" w:rsidRDefault="004650DD" w:rsidP="00F93FC8">
      <w:pPr>
        <w:ind w:firstLine="720"/>
        <w:jc w:val="both"/>
        <w:rPr>
          <w:b/>
          <w:i/>
          <w:sz w:val="24"/>
          <w:szCs w:val="24"/>
        </w:rPr>
      </w:pPr>
      <w:r>
        <w:rPr>
          <w:sz w:val="24"/>
          <w:szCs w:val="24"/>
        </w:rPr>
        <w:t>Invece, p</w:t>
      </w:r>
      <w:r w:rsidR="005F5522" w:rsidRPr="005F5522">
        <w:rPr>
          <w:sz w:val="24"/>
          <w:szCs w:val="24"/>
        </w:rPr>
        <w:t>er l’obiettivo C</w:t>
      </w:r>
      <w:r>
        <w:rPr>
          <w:sz w:val="24"/>
          <w:szCs w:val="24"/>
        </w:rPr>
        <w:t>,</w:t>
      </w:r>
      <w:r w:rsidR="005F5522" w:rsidRPr="005F5522">
        <w:rPr>
          <w:sz w:val="24"/>
          <w:szCs w:val="24"/>
        </w:rPr>
        <w:t xml:space="preserve"> sono stati allocati fondi per costi di incentivazione dei docenti per </w:t>
      </w:r>
      <w:r w:rsidR="005518DF">
        <w:rPr>
          <w:sz w:val="24"/>
          <w:szCs w:val="24"/>
        </w:rPr>
        <w:t xml:space="preserve">€ </w:t>
      </w:r>
      <w:r w:rsidR="005F5522" w:rsidRPr="005F5522">
        <w:rPr>
          <w:sz w:val="24"/>
          <w:szCs w:val="24"/>
        </w:rPr>
        <w:t>150.000</w:t>
      </w:r>
      <w:r w:rsidR="005518DF">
        <w:rPr>
          <w:sz w:val="24"/>
          <w:szCs w:val="24"/>
        </w:rPr>
        <w:t>,00</w:t>
      </w:r>
      <w:r w:rsidR="005F5522" w:rsidRPr="005F5522">
        <w:rPr>
          <w:sz w:val="24"/>
          <w:szCs w:val="24"/>
        </w:rPr>
        <w:t xml:space="preserve"> annui sul budget 2017 e 2018 coperti da ricavi finalizzati dal MI</w:t>
      </w:r>
      <w:r w:rsidR="00512462">
        <w:rPr>
          <w:sz w:val="24"/>
          <w:szCs w:val="24"/>
        </w:rPr>
        <w:t>UR per programmazione triennale. A</w:t>
      </w:r>
      <w:r w:rsidR="005F5522" w:rsidRPr="005F5522">
        <w:rPr>
          <w:sz w:val="24"/>
          <w:szCs w:val="24"/>
        </w:rPr>
        <w:t xml:space="preserve">ltrettanti </w:t>
      </w:r>
      <w:r w:rsidR="005518DF">
        <w:rPr>
          <w:sz w:val="24"/>
          <w:szCs w:val="24"/>
        </w:rPr>
        <w:t xml:space="preserve">€ </w:t>
      </w:r>
      <w:r w:rsidR="005F5522" w:rsidRPr="005F5522">
        <w:rPr>
          <w:sz w:val="24"/>
          <w:szCs w:val="24"/>
        </w:rPr>
        <w:t xml:space="preserve">150.000 annui </w:t>
      </w:r>
      <w:r w:rsidR="00512462">
        <w:rPr>
          <w:sz w:val="24"/>
          <w:szCs w:val="24"/>
        </w:rPr>
        <w:t xml:space="preserve">sono stanziati </w:t>
      </w:r>
      <w:r w:rsidR="003E2057" w:rsidRPr="005F5522">
        <w:rPr>
          <w:sz w:val="24"/>
          <w:szCs w:val="24"/>
        </w:rPr>
        <w:t xml:space="preserve">sul budget </w:t>
      </w:r>
      <w:r w:rsidR="005F5522" w:rsidRPr="005F5522">
        <w:rPr>
          <w:sz w:val="24"/>
          <w:szCs w:val="24"/>
        </w:rPr>
        <w:t>2017 e 2018</w:t>
      </w:r>
      <w:r w:rsidR="003E2057">
        <w:rPr>
          <w:sz w:val="24"/>
          <w:szCs w:val="24"/>
        </w:rPr>
        <w:t>,</w:t>
      </w:r>
      <w:r w:rsidR="005F5522" w:rsidRPr="005F5522">
        <w:rPr>
          <w:sz w:val="24"/>
          <w:szCs w:val="24"/>
        </w:rPr>
        <w:t xml:space="preserve"> </w:t>
      </w:r>
      <w:r w:rsidR="00512462">
        <w:rPr>
          <w:sz w:val="24"/>
          <w:szCs w:val="24"/>
        </w:rPr>
        <w:t>a valere su</w:t>
      </w:r>
      <w:r w:rsidR="005F5522" w:rsidRPr="005F5522">
        <w:rPr>
          <w:sz w:val="24"/>
          <w:szCs w:val="24"/>
        </w:rPr>
        <w:t xml:space="preserve"> fondi di Ateneo.</w:t>
      </w:r>
    </w:p>
    <w:tbl>
      <w:tblPr>
        <w:tblW w:w="9360" w:type="dxa"/>
        <w:tblCellMar>
          <w:left w:w="70" w:type="dxa"/>
          <w:right w:w="70" w:type="dxa"/>
        </w:tblCellMar>
        <w:tblLook w:val="04A0" w:firstRow="1" w:lastRow="0" w:firstColumn="1" w:lastColumn="0" w:noHBand="0" w:noVBand="1"/>
      </w:tblPr>
      <w:tblGrid>
        <w:gridCol w:w="3402"/>
        <w:gridCol w:w="2238"/>
        <w:gridCol w:w="1860"/>
        <w:gridCol w:w="1860"/>
      </w:tblGrid>
      <w:tr w:rsidR="00FF79BD" w:rsidRPr="008C4829" w:rsidTr="008B4FCA">
        <w:trPr>
          <w:trHeight w:val="330"/>
        </w:trPr>
        <w:tc>
          <w:tcPr>
            <w:tcW w:w="3402" w:type="dxa"/>
            <w:tcBorders>
              <w:top w:val="nil"/>
              <w:left w:val="nil"/>
              <w:bottom w:val="nil"/>
              <w:right w:val="nil"/>
            </w:tcBorders>
            <w:shd w:val="clear" w:color="auto" w:fill="auto"/>
            <w:noWrap/>
            <w:vAlign w:val="bottom"/>
            <w:hideMark/>
          </w:tcPr>
          <w:p w:rsidR="00FF79BD" w:rsidRPr="008C4829" w:rsidRDefault="00FF79BD" w:rsidP="00F93FC8">
            <w:pPr>
              <w:rPr>
                <w:rFonts w:ascii="Calibri" w:hAnsi="Calibri"/>
                <w:b/>
                <w:bCs/>
                <w:color w:val="548DD4" w:themeColor="text2" w:themeTint="99"/>
              </w:rPr>
            </w:pPr>
          </w:p>
        </w:tc>
        <w:tc>
          <w:tcPr>
            <w:tcW w:w="2238" w:type="dxa"/>
            <w:tcBorders>
              <w:top w:val="nil"/>
              <w:left w:val="nil"/>
              <w:bottom w:val="nil"/>
              <w:right w:val="nil"/>
            </w:tcBorders>
            <w:shd w:val="clear" w:color="auto" w:fill="auto"/>
            <w:noWrap/>
            <w:vAlign w:val="bottom"/>
            <w:hideMark/>
          </w:tcPr>
          <w:p w:rsidR="00FF79BD" w:rsidRPr="008C4829" w:rsidRDefault="00FF79BD" w:rsidP="00FF79BD">
            <w:pPr>
              <w:rPr>
                <w:color w:val="548DD4" w:themeColor="text2" w:themeTint="99"/>
              </w:rPr>
            </w:pPr>
          </w:p>
        </w:tc>
        <w:tc>
          <w:tcPr>
            <w:tcW w:w="1860" w:type="dxa"/>
            <w:tcBorders>
              <w:top w:val="nil"/>
              <w:left w:val="nil"/>
              <w:bottom w:val="nil"/>
              <w:right w:val="nil"/>
            </w:tcBorders>
            <w:shd w:val="clear" w:color="auto" w:fill="auto"/>
            <w:noWrap/>
            <w:vAlign w:val="bottom"/>
            <w:hideMark/>
          </w:tcPr>
          <w:p w:rsidR="00FF79BD" w:rsidRPr="008C4829" w:rsidRDefault="00FF79BD" w:rsidP="00FF79BD">
            <w:pPr>
              <w:rPr>
                <w:color w:val="548DD4" w:themeColor="text2" w:themeTint="99"/>
              </w:rPr>
            </w:pPr>
          </w:p>
        </w:tc>
        <w:tc>
          <w:tcPr>
            <w:tcW w:w="1860" w:type="dxa"/>
            <w:tcBorders>
              <w:top w:val="nil"/>
              <w:left w:val="nil"/>
              <w:bottom w:val="nil"/>
              <w:right w:val="nil"/>
            </w:tcBorders>
            <w:shd w:val="clear" w:color="auto" w:fill="auto"/>
            <w:noWrap/>
            <w:vAlign w:val="bottom"/>
            <w:hideMark/>
          </w:tcPr>
          <w:p w:rsidR="00FF79BD" w:rsidRPr="008C4829" w:rsidRDefault="00FF79BD" w:rsidP="00FF79BD">
            <w:pPr>
              <w:rPr>
                <w:color w:val="548DD4" w:themeColor="text2" w:themeTint="99"/>
              </w:rPr>
            </w:pPr>
          </w:p>
        </w:tc>
      </w:tr>
    </w:tbl>
    <w:p w:rsidR="00BB282E" w:rsidRPr="008C4829" w:rsidRDefault="00BB282E" w:rsidP="00BB282E">
      <w:pPr>
        <w:jc w:val="both"/>
        <w:rPr>
          <w:b/>
          <w:color w:val="548DD4" w:themeColor="text2" w:themeTint="99"/>
          <w:sz w:val="24"/>
          <w:szCs w:val="24"/>
        </w:rPr>
      </w:pPr>
    </w:p>
    <w:p w:rsidR="00457244" w:rsidRPr="00076C41" w:rsidRDefault="00F93FC8" w:rsidP="001108F0">
      <w:pPr>
        <w:pStyle w:val="Titolo3"/>
        <w:ind w:left="0"/>
        <w:jc w:val="both"/>
        <w:rPr>
          <w:i/>
        </w:rPr>
      </w:pPr>
      <w:bookmarkStart w:id="7" w:name="_Toc469659515"/>
      <w:r w:rsidRPr="00076C41">
        <w:rPr>
          <w:i/>
        </w:rPr>
        <w:t>2.1.4</w:t>
      </w:r>
      <w:r w:rsidR="00457244" w:rsidRPr="00076C41">
        <w:rPr>
          <w:i/>
        </w:rPr>
        <w:t xml:space="preserve"> Ricavi finalizzati derivanti da finanziamenti di soggetti terzi</w:t>
      </w:r>
      <w:bookmarkEnd w:id="7"/>
    </w:p>
    <w:p w:rsidR="00457244" w:rsidRPr="008C4829" w:rsidRDefault="00457244" w:rsidP="00457244">
      <w:pPr>
        <w:jc w:val="both"/>
        <w:rPr>
          <w:b/>
          <w:i/>
          <w:color w:val="548DD4" w:themeColor="text2" w:themeTint="99"/>
          <w:sz w:val="24"/>
          <w:szCs w:val="24"/>
        </w:rPr>
      </w:pPr>
    </w:p>
    <w:p w:rsidR="00457244" w:rsidRPr="00F93FC8" w:rsidRDefault="00BC0910" w:rsidP="00BC0910">
      <w:pPr>
        <w:ind w:firstLine="720"/>
        <w:jc w:val="both"/>
        <w:rPr>
          <w:sz w:val="24"/>
          <w:szCs w:val="24"/>
        </w:rPr>
      </w:pPr>
      <w:r w:rsidRPr="00F93FC8">
        <w:rPr>
          <w:sz w:val="24"/>
          <w:szCs w:val="24"/>
        </w:rPr>
        <w:t>I ricavi provenienti da finanziamenti di soggetti terzi, ivi inclusa l’attività commerciale, sono costituiti in larga misura da risorse legate alle attività di ricerca svolte presso i Dipartimenti.</w:t>
      </w:r>
    </w:p>
    <w:p w:rsidR="00222D99" w:rsidRDefault="00BC0910" w:rsidP="00F93FC8">
      <w:pPr>
        <w:jc w:val="both"/>
        <w:rPr>
          <w:sz w:val="24"/>
          <w:szCs w:val="24"/>
        </w:rPr>
      </w:pPr>
      <w:r w:rsidRPr="008C4829">
        <w:rPr>
          <w:color w:val="548DD4" w:themeColor="text2" w:themeTint="99"/>
          <w:sz w:val="24"/>
          <w:szCs w:val="24"/>
        </w:rPr>
        <w:tab/>
      </w:r>
      <w:r w:rsidR="00412FB8" w:rsidRPr="00F93FC8">
        <w:rPr>
          <w:sz w:val="24"/>
          <w:szCs w:val="24"/>
        </w:rPr>
        <w:t>L</w:t>
      </w:r>
      <w:r w:rsidR="00672AA4" w:rsidRPr="00F93FC8">
        <w:rPr>
          <w:sz w:val="24"/>
          <w:szCs w:val="24"/>
        </w:rPr>
        <w:t xml:space="preserve">a </w:t>
      </w:r>
      <w:r w:rsidR="00672AA4" w:rsidRPr="00F93FC8">
        <w:rPr>
          <w:i/>
          <w:sz w:val="24"/>
          <w:szCs w:val="24"/>
        </w:rPr>
        <w:t>Tabella 6</w:t>
      </w:r>
      <w:r w:rsidR="00222D99">
        <w:rPr>
          <w:i/>
          <w:sz w:val="24"/>
          <w:szCs w:val="24"/>
        </w:rPr>
        <w:t xml:space="preserve">, </w:t>
      </w:r>
      <w:r w:rsidR="00222D99" w:rsidRPr="00222D99">
        <w:rPr>
          <w:sz w:val="24"/>
          <w:szCs w:val="24"/>
        </w:rPr>
        <w:t>riportata nel successivo paragrafo</w:t>
      </w:r>
      <w:r w:rsidR="00222D99">
        <w:rPr>
          <w:i/>
          <w:sz w:val="24"/>
          <w:szCs w:val="24"/>
        </w:rPr>
        <w:t>,</w:t>
      </w:r>
      <w:r w:rsidR="00672AA4" w:rsidRPr="00F93FC8">
        <w:rPr>
          <w:sz w:val="24"/>
          <w:szCs w:val="24"/>
        </w:rPr>
        <w:t xml:space="preserve"> </w:t>
      </w:r>
      <w:r w:rsidR="0070589C" w:rsidRPr="00F93FC8">
        <w:rPr>
          <w:sz w:val="24"/>
          <w:szCs w:val="24"/>
        </w:rPr>
        <w:t xml:space="preserve">riassume il volume complessivo delle risorse </w:t>
      </w:r>
      <w:r w:rsidR="00F93FC8" w:rsidRPr="00F93FC8">
        <w:rPr>
          <w:sz w:val="24"/>
          <w:szCs w:val="24"/>
        </w:rPr>
        <w:t>progettuali in previsione 2017.</w:t>
      </w:r>
    </w:p>
    <w:p w:rsidR="00F93FC8" w:rsidRDefault="00983315" w:rsidP="00F93FC8">
      <w:pPr>
        <w:jc w:val="both"/>
        <w:rPr>
          <w:sz w:val="24"/>
          <w:szCs w:val="24"/>
        </w:rPr>
      </w:pPr>
      <w:r w:rsidRPr="008C4829">
        <w:rPr>
          <w:color w:val="548DD4" w:themeColor="text2" w:themeTint="99"/>
          <w:sz w:val="24"/>
          <w:szCs w:val="24"/>
        </w:rPr>
        <w:tab/>
      </w:r>
      <w:r w:rsidR="00F93FC8" w:rsidRPr="00F93FC8">
        <w:rPr>
          <w:sz w:val="24"/>
          <w:szCs w:val="24"/>
        </w:rPr>
        <w:t>G</w:t>
      </w:r>
      <w:r w:rsidR="009066D7" w:rsidRPr="00F93FC8">
        <w:rPr>
          <w:sz w:val="24"/>
          <w:szCs w:val="24"/>
        </w:rPr>
        <w:t xml:space="preserve">li importi </w:t>
      </w:r>
      <w:r w:rsidR="00F93FC8" w:rsidRPr="00F93FC8">
        <w:rPr>
          <w:sz w:val="24"/>
          <w:szCs w:val="24"/>
        </w:rPr>
        <w:t>in questione comprendono le</w:t>
      </w:r>
      <w:r w:rsidR="009066D7" w:rsidRPr="00F93FC8">
        <w:rPr>
          <w:sz w:val="24"/>
          <w:szCs w:val="24"/>
        </w:rPr>
        <w:t xml:space="preserve"> risorse da Avanzo di Amministrazione riconducibile alla contabilità finanziaria, le quali rimangono iscritte in app</w:t>
      </w:r>
      <w:r w:rsidR="0070101D" w:rsidRPr="00F93FC8">
        <w:rPr>
          <w:sz w:val="24"/>
          <w:szCs w:val="24"/>
        </w:rPr>
        <w:t>osita voce del Patrimonio Netto ed esposte, in via transitoria e nei limiti del loro esaurimento, nella voce V.1 “Utilizzo di riserve di Patrimonio Netto derivanti dalla contabilità finanziaria”, al fine di dare evidenza del loro impiego.</w:t>
      </w:r>
    </w:p>
    <w:p w:rsidR="00F93FC8" w:rsidRPr="00F93FC8" w:rsidRDefault="00F93FC8" w:rsidP="00F93FC8">
      <w:pPr>
        <w:ind w:firstLine="720"/>
        <w:jc w:val="both"/>
        <w:rPr>
          <w:sz w:val="24"/>
          <w:szCs w:val="24"/>
        </w:rPr>
      </w:pPr>
      <w:r>
        <w:rPr>
          <w:sz w:val="24"/>
          <w:szCs w:val="24"/>
        </w:rPr>
        <w:t>S</w:t>
      </w:r>
      <w:r w:rsidRPr="00F93FC8">
        <w:rPr>
          <w:sz w:val="24"/>
          <w:szCs w:val="24"/>
        </w:rPr>
        <w:t>ono state previste per l’anno 2017 “</w:t>
      </w:r>
      <w:r w:rsidRPr="00F93FC8">
        <w:rPr>
          <w:i/>
          <w:sz w:val="24"/>
          <w:szCs w:val="24"/>
        </w:rPr>
        <w:t>entrate per progetti di ricerca finanziati da Ministeri, Regioni, clienti privati, organismi internazionali</w:t>
      </w:r>
      <w:r w:rsidRPr="00F93FC8">
        <w:rPr>
          <w:sz w:val="24"/>
          <w:szCs w:val="24"/>
        </w:rPr>
        <w:t xml:space="preserve">”, </w:t>
      </w:r>
      <w:r>
        <w:rPr>
          <w:sz w:val="24"/>
          <w:szCs w:val="24"/>
        </w:rPr>
        <w:t>senza</w:t>
      </w:r>
      <w:r w:rsidRPr="00F93FC8">
        <w:rPr>
          <w:sz w:val="24"/>
          <w:szCs w:val="24"/>
        </w:rPr>
        <w:t xml:space="preserve"> cor</w:t>
      </w:r>
      <w:r>
        <w:rPr>
          <w:sz w:val="24"/>
          <w:szCs w:val="24"/>
        </w:rPr>
        <w:t>relazione a specifici progetti (già codificati e inseriti in contabilità), a</w:t>
      </w:r>
      <w:r w:rsidRPr="00F93FC8">
        <w:rPr>
          <w:sz w:val="24"/>
          <w:szCs w:val="24"/>
        </w:rPr>
        <w:t xml:space="preserve">l fine di far fronte in </w:t>
      </w:r>
      <w:r>
        <w:rPr>
          <w:sz w:val="24"/>
          <w:szCs w:val="24"/>
        </w:rPr>
        <w:t xml:space="preserve">tempi rapidi alle spese </w:t>
      </w:r>
      <w:r w:rsidR="00E378C3">
        <w:rPr>
          <w:sz w:val="24"/>
          <w:szCs w:val="24"/>
        </w:rPr>
        <w:t>per</w:t>
      </w:r>
      <w:r w:rsidRPr="00F93FC8">
        <w:rPr>
          <w:sz w:val="24"/>
          <w:szCs w:val="24"/>
        </w:rPr>
        <w:t xml:space="preserve"> nuovi progetti di ricerca finanziati</w:t>
      </w:r>
      <w:r w:rsidR="00E378C3">
        <w:rPr>
          <w:sz w:val="24"/>
          <w:szCs w:val="24"/>
        </w:rPr>
        <w:t>, a partire dal 2017,</w:t>
      </w:r>
      <w:r w:rsidRPr="00F93FC8">
        <w:rPr>
          <w:sz w:val="24"/>
          <w:szCs w:val="24"/>
        </w:rPr>
        <w:t xml:space="preserve"> da fonti esterne (ministeri, CE, organismi di ricerca, clienti privati, etc)</w:t>
      </w:r>
      <w:r w:rsidR="00E378C3">
        <w:rPr>
          <w:sz w:val="24"/>
          <w:szCs w:val="24"/>
        </w:rPr>
        <w:t>.</w:t>
      </w:r>
    </w:p>
    <w:p w:rsidR="00F93FC8" w:rsidRDefault="00F93FC8" w:rsidP="00F93FC8">
      <w:pPr>
        <w:jc w:val="both"/>
        <w:rPr>
          <w:sz w:val="24"/>
          <w:szCs w:val="24"/>
        </w:rPr>
      </w:pPr>
      <w:r w:rsidRPr="00F93FC8">
        <w:rPr>
          <w:sz w:val="24"/>
          <w:szCs w:val="24"/>
        </w:rPr>
        <w:tab/>
        <w:t>L’ammontare di tali nuove risorse è stato quantificato usando criteri di prudenza e</w:t>
      </w:r>
      <w:r w:rsidR="00E378C3">
        <w:rPr>
          <w:sz w:val="24"/>
          <w:szCs w:val="24"/>
        </w:rPr>
        <w:t>,</w:t>
      </w:r>
      <w:r w:rsidRPr="00F93FC8">
        <w:rPr>
          <w:sz w:val="24"/>
          <w:szCs w:val="24"/>
        </w:rPr>
        <w:t xml:space="preserve"> </w:t>
      </w:r>
      <w:r w:rsidR="00E378C3">
        <w:rPr>
          <w:sz w:val="24"/>
          <w:szCs w:val="24"/>
        </w:rPr>
        <w:t>riferendosi a</w:t>
      </w:r>
      <w:r w:rsidRPr="00F93FC8">
        <w:rPr>
          <w:sz w:val="24"/>
          <w:szCs w:val="24"/>
        </w:rPr>
        <w:t xml:space="preserve"> un </w:t>
      </w:r>
      <w:r w:rsidRPr="00E378C3">
        <w:rPr>
          <w:i/>
          <w:sz w:val="24"/>
          <w:szCs w:val="24"/>
        </w:rPr>
        <w:t>trend</w:t>
      </w:r>
      <w:r w:rsidRPr="00F93FC8">
        <w:rPr>
          <w:sz w:val="24"/>
          <w:szCs w:val="24"/>
        </w:rPr>
        <w:t xml:space="preserve"> storico </w:t>
      </w:r>
      <w:r w:rsidR="00E378C3">
        <w:rPr>
          <w:sz w:val="24"/>
          <w:szCs w:val="24"/>
        </w:rPr>
        <w:t>riguardante</w:t>
      </w:r>
      <w:r w:rsidRPr="00F93FC8">
        <w:rPr>
          <w:sz w:val="24"/>
          <w:szCs w:val="24"/>
        </w:rPr>
        <w:t xml:space="preserve"> i finanziamenti competitivi per la ricerca</w:t>
      </w:r>
      <w:r w:rsidR="00E378C3">
        <w:rPr>
          <w:sz w:val="24"/>
          <w:szCs w:val="24"/>
        </w:rPr>
        <w:t>, si è operato un sensibile ridimensionamento degli importi.</w:t>
      </w:r>
    </w:p>
    <w:p w:rsidR="00F93FC8" w:rsidRDefault="00F93FC8" w:rsidP="00E378C3">
      <w:pPr>
        <w:ind w:firstLine="720"/>
        <w:jc w:val="both"/>
        <w:rPr>
          <w:sz w:val="24"/>
          <w:szCs w:val="24"/>
        </w:rPr>
      </w:pPr>
      <w:r w:rsidRPr="00F93FC8">
        <w:rPr>
          <w:sz w:val="24"/>
          <w:szCs w:val="24"/>
        </w:rPr>
        <w:t xml:space="preserve">In termini di previsione, pertanto, </w:t>
      </w:r>
      <w:r w:rsidR="00E378C3">
        <w:rPr>
          <w:sz w:val="24"/>
          <w:szCs w:val="24"/>
        </w:rPr>
        <w:t>gli importi sono così determinati</w:t>
      </w:r>
      <w:r w:rsidRPr="00F93FC8">
        <w:rPr>
          <w:sz w:val="24"/>
          <w:szCs w:val="24"/>
        </w:rPr>
        <w:t>:</w:t>
      </w:r>
    </w:p>
    <w:p w:rsidR="00E378C3" w:rsidRPr="00F93FC8" w:rsidRDefault="00E378C3" w:rsidP="00E378C3">
      <w:pPr>
        <w:ind w:firstLine="720"/>
        <w:jc w:val="both"/>
        <w:rPr>
          <w:sz w:val="24"/>
          <w:szCs w:val="24"/>
        </w:rPr>
      </w:pPr>
    </w:p>
    <w:p w:rsidR="00F93FC8" w:rsidRPr="00E378C3" w:rsidRDefault="00F93FC8" w:rsidP="00736B8D">
      <w:pPr>
        <w:pStyle w:val="Paragrafoelenco"/>
        <w:numPr>
          <w:ilvl w:val="0"/>
          <w:numId w:val="4"/>
        </w:numPr>
        <w:jc w:val="both"/>
        <w:rPr>
          <w:sz w:val="24"/>
          <w:szCs w:val="24"/>
        </w:rPr>
      </w:pPr>
      <w:r w:rsidRPr="00E378C3">
        <w:rPr>
          <w:sz w:val="24"/>
          <w:szCs w:val="24"/>
        </w:rPr>
        <w:t>€ 300.000,00 Ricerche con finanziamento competitivi da Ministeri e Amm.ni Centrali</w:t>
      </w:r>
      <w:r w:rsidR="00E378C3">
        <w:rPr>
          <w:sz w:val="24"/>
          <w:szCs w:val="24"/>
        </w:rPr>
        <w:t>;</w:t>
      </w:r>
    </w:p>
    <w:p w:rsidR="00F93FC8" w:rsidRDefault="00F93FC8" w:rsidP="00736B8D">
      <w:pPr>
        <w:pStyle w:val="Paragrafoelenco"/>
        <w:numPr>
          <w:ilvl w:val="0"/>
          <w:numId w:val="4"/>
        </w:numPr>
        <w:jc w:val="both"/>
        <w:rPr>
          <w:sz w:val="24"/>
          <w:szCs w:val="24"/>
        </w:rPr>
      </w:pPr>
      <w:r w:rsidRPr="00E378C3">
        <w:rPr>
          <w:sz w:val="24"/>
          <w:szCs w:val="24"/>
        </w:rPr>
        <w:t>€ 100.000</w:t>
      </w:r>
      <w:r w:rsidR="00E378C3">
        <w:rPr>
          <w:sz w:val="24"/>
          <w:szCs w:val="24"/>
        </w:rPr>
        <w:t>,00</w:t>
      </w:r>
      <w:r w:rsidRPr="00E378C3">
        <w:rPr>
          <w:sz w:val="24"/>
          <w:szCs w:val="24"/>
        </w:rPr>
        <w:t xml:space="preserve"> Ricerche con finanziamento competitivi da altri clienti pubblici</w:t>
      </w:r>
      <w:r w:rsidR="00E378C3">
        <w:rPr>
          <w:sz w:val="24"/>
          <w:szCs w:val="24"/>
        </w:rPr>
        <w:t>;</w:t>
      </w:r>
    </w:p>
    <w:p w:rsidR="00F93FC8" w:rsidRDefault="00F93FC8" w:rsidP="00736B8D">
      <w:pPr>
        <w:pStyle w:val="Paragrafoelenco"/>
        <w:numPr>
          <w:ilvl w:val="0"/>
          <w:numId w:val="4"/>
        </w:numPr>
        <w:jc w:val="both"/>
        <w:rPr>
          <w:sz w:val="24"/>
          <w:szCs w:val="24"/>
        </w:rPr>
      </w:pPr>
      <w:r w:rsidRPr="00E378C3">
        <w:rPr>
          <w:sz w:val="24"/>
          <w:szCs w:val="24"/>
        </w:rPr>
        <w:t>€ 100.000</w:t>
      </w:r>
      <w:r w:rsidR="00E378C3">
        <w:rPr>
          <w:sz w:val="24"/>
          <w:szCs w:val="24"/>
        </w:rPr>
        <w:t>,00</w:t>
      </w:r>
      <w:r w:rsidRPr="00E378C3">
        <w:rPr>
          <w:sz w:val="24"/>
          <w:szCs w:val="24"/>
        </w:rPr>
        <w:t xml:space="preserve"> Ricerche con finanziamento competitivi da altri clienti privati</w:t>
      </w:r>
      <w:r w:rsidR="00E378C3">
        <w:rPr>
          <w:sz w:val="24"/>
          <w:szCs w:val="24"/>
        </w:rPr>
        <w:t>;</w:t>
      </w:r>
    </w:p>
    <w:p w:rsidR="00F93FC8" w:rsidRPr="00E378C3" w:rsidRDefault="00F93FC8" w:rsidP="00736B8D">
      <w:pPr>
        <w:pStyle w:val="Paragrafoelenco"/>
        <w:numPr>
          <w:ilvl w:val="0"/>
          <w:numId w:val="4"/>
        </w:numPr>
        <w:jc w:val="both"/>
        <w:rPr>
          <w:sz w:val="24"/>
          <w:szCs w:val="24"/>
        </w:rPr>
      </w:pPr>
      <w:r w:rsidRPr="00E378C3">
        <w:rPr>
          <w:sz w:val="24"/>
          <w:szCs w:val="24"/>
        </w:rPr>
        <w:t>€ 100.000</w:t>
      </w:r>
      <w:r w:rsidR="00E378C3">
        <w:rPr>
          <w:sz w:val="24"/>
          <w:szCs w:val="24"/>
        </w:rPr>
        <w:t>,00</w:t>
      </w:r>
      <w:r w:rsidRPr="00E378C3">
        <w:rPr>
          <w:sz w:val="24"/>
          <w:szCs w:val="24"/>
        </w:rPr>
        <w:t xml:space="preserve"> Ricerche con finanziamento competitivi da organismi internazionali</w:t>
      </w:r>
      <w:r w:rsidR="00E378C3">
        <w:rPr>
          <w:sz w:val="24"/>
          <w:szCs w:val="24"/>
        </w:rPr>
        <w:t>.</w:t>
      </w:r>
    </w:p>
    <w:p w:rsidR="00F93FC8" w:rsidRPr="00F93FC8" w:rsidRDefault="00F93FC8" w:rsidP="00F93FC8">
      <w:pPr>
        <w:jc w:val="both"/>
        <w:rPr>
          <w:sz w:val="24"/>
          <w:szCs w:val="24"/>
        </w:rPr>
      </w:pPr>
    </w:p>
    <w:p w:rsidR="00F93FC8" w:rsidRPr="00F93FC8" w:rsidRDefault="00F93FC8" w:rsidP="00E378C3">
      <w:pPr>
        <w:ind w:firstLine="720"/>
        <w:jc w:val="both"/>
        <w:rPr>
          <w:sz w:val="24"/>
          <w:szCs w:val="24"/>
        </w:rPr>
      </w:pPr>
      <w:r w:rsidRPr="00F93FC8">
        <w:rPr>
          <w:sz w:val="24"/>
          <w:szCs w:val="24"/>
        </w:rPr>
        <w:t xml:space="preserve">In termini di </w:t>
      </w:r>
      <w:r w:rsidR="00E378C3">
        <w:rPr>
          <w:sz w:val="24"/>
          <w:szCs w:val="24"/>
        </w:rPr>
        <w:t xml:space="preserve">costi, in coerenza con quanto avvenuto negli anni passati, le risorse </w:t>
      </w:r>
      <w:r w:rsidRPr="00F93FC8">
        <w:rPr>
          <w:sz w:val="24"/>
          <w:szCs w:val="24"/>
        </w:rPr>
        <w:t xml:space="preserve">sono state distribuite in misura pari al 60% </w:t>
      </w:r>
      <w:r w:rsidR="00E378C3">
        <w:rPr>
          <w:sz w:val="24"/>
          <w:szCs w:val="24"/>
        </w:rPr>
        <w:t xml:space="preserve">per costi di esercizio </w:t>
      </w:r>
      <w:r w:rsidRPr="00F93FC8">
        <w:rPr>
          <w:sz w:val="24"/>
          <w:szCs w:val="24"/>
        </w:rPr>
        <w:t xml:space="preserve">e </w:t>
      </w:r>
      <w:r w:rsidR="00E378C3">
        <w:rPr>
          <w:sz w:val="24"/>
          <w:szCs w:val="24"/>
        </w:rPr>
        <w:t>al</w:t>
      </w:r>
      <w:r w:rsidRPr="00F93FC8">
        <w:rPr>
          <w:sz w:val="24"/>
          <w:szCs w:val="24"/>
        </w:rPr>
        <w:t xml:space="preserve"> 40% </w:t>
      </w:r>
      <w:r w:rsidR="00E378C3">
        <w:rPr>
          <w:sz w:val="24"/>
          <w:szCs w:val="24"/>
        </w:rPr>
        <w:t>per investimenti.</w:t>
      </w:r>
    </w:p>
    <w:p w:rsidR="00F93FC8" w:rsidRPr="00F93FC8" w:rsidRDefault="00F93FC8" w:rsidP="00E378C3">
      <w:pPr>
        <w:ind w:firstLine="720"/>
        <w:jc w:val="both"/>
        <w:rPr>
          <w:sz w:val="24"/>
          <w:szCs w:val="24"/>
        </w:rPr>
      </w:pPr>
      <w:r w:rsidRPr="00F93FC8">
        <w:rPr>
          <w:sz w:val="24"/>
          <w:szCs w:val="24"/>
        </w:rPr>
        <w:t>Nel budget 2017 del Settore Ricerca e Relazioni Internazionali, inoltre, sono state oggetto di previsione risorse pari ad € 240.000</w:t>
      </w:r>
      <w:r w:rsidR="00E378C3">
        <w:rPr>
          <w:sz w:val="24"/>
          <w:szCs w:val="24"/>
        </w:rPr>
        <w:t>,00</w:t>
      </w:r>
      <w:r w:rsidRPr="00F93FC8">
        <w:rPr>
          <w:sz w:val="24"/>
          <w:szCs w:val="24"/>
        </w:rPr>
        <w:t xml:space="preserve"> (CA.05.50.02.13 - Ricerche con finanziamenti competitivi da altri clienti privati), imputate alla voce di costo CA.04.43.08.03.01 - Assegni di ricerca.</w:t>
      </w:r>
    </w:p>
    <w:p w:rsidR="00F93FC8" w:rsidRPr="00F93FC8" w:rsidRDefault="00956FB5" w:rsidP="0043410E">
      <w:pPr>
        <w:ind w:firstLine="720"/>
        <w:jc w:val="both"/>
        <w:rPr>
          <w:sz w:val="24"/>
          <w:szCs w:val="24"/>
        </w:rPr>
      </w:pPr>
      <w:r>
        <w:rPr>
          <w:sz w:val="24"/>
          <w:szCs w:val="24"/>
        </w:rPr>
        <w:lastRenderedPageBreak/>
        <w:t>Stante la</w:t>
      </w:r>
      <w:r w:rsidR="00F93FC8" w:rsidRPr="00F93FC8">
        <w:rPr>
          <w:sz w:val="24"/>
          <w:szCs w:val="24"/>
        </w:rPr>
        <w:t xml:space="preserve"> numeros</w:t>
      </w:r>
      <w:r>
        <w:rPr>
          <w:sz w:val="24"/>
          <w:szCs w:val="24"/>
        </w:rPr>
        <w:t>ità</w:t>
      </w:r>
      <w:r w:rsidR="00F93FC8" w:rsidRPr="00F93FC8">
        <w:rPr>
          <w:sz w:val="24"/>
          <w:szCs w:val="24"/>
        </w:rPr>
        <w:t xml:space="preserve"> degli assegni di ricerca</w:t>
      </w:r>
      <w:r>
        <w:rPr>
          <w:sz w:val="24"/>
          <w:szCs w:val="24"/>
        </w:rPr>
        <w:t xml:space="preserve"> banditi da questo Politecnico, a valere su </w:t>
      </w:r>
      <w:r w:rsidR="00F93FC8" w:rsidRPr="00F93FC8">
        <w:rPr>
          <w:sz w:val="24"/>
          <w:szCs w:val="24"/>
        </w:rPr>
        <w:t>specifici accordi di</w:t>
      </w:r>
      <w:r>
        <w:rPr>
          <w:sz w:val="24"/>
          <w:szCs w:val="24"/>
        </w:rPr>
        <w:t xml:space="preserve"> ricerca e attività commerciale</w:t>
      </w:r>
      <w:r w:rsidR="00F93FC8" w:rsidRPr="00F93FC8">
        <w:rPr>
          <w:sz w:val="24"/>
          <w:szCs w:val="24"/>
        </w:rPr>
        <w:t xml:space="preserve">, si è ritenuto </w:t>
      </w:r>
      <w:r>
        <w:rPr>
          <w:sz w:val="24"/>
          <w:szCs w:val="24"/>
        </w:rPr>
        <w:t>comunque opportuno dedicare anche risorse di Ateneo per tale programmazione.</w:t>
      </w:r>
    </w:p>
    <w:p w:rsidR="00F93FC8" w:rsidRPr="00F93FC8" w:rsidRDefault="00956FB5" w:rsidP="00F93FC8">
      <w:pPr>
        <w:jc w:val="both"/>
        <w:rPr>
          <w:sz w:val="24"/>
          <w:szCs w:val="24"/>
        </w:rPr>
      </w:pPr>
      <w:r>
        <w:rPr>
          <w:sz w:val="24"/>
          <w:szCs w:val="24"/>
        </w:rPr>
        <w:tab/>
      </w:r>
      <w:r w:rsidR="00F93FC8" w:rsidRPr="00F93FC8">
        <w:rPr>
          <w:sz w:val="24"/>
          <w:szCs w:val="24"/>
        </w:rPr>
        <w:t xml:space="preserve">Prudenzialmente, sono stati ipotizzati </w:t>
      </w:r>
      <w:r>
        <w:rPr>
          <w:sz w:val="24"/>
          <w:szCs w:val="24"/>
        </w:rPr>
        <w:t>n.</w:t>
      </w:r>
      <w:r w:rsidR="00F93FC8" w:rsidRPr="00F93FC8">
        <w:rPr>
          <w:sz w:val="24"/>
          <w:szCs w:val="24"/>
        </w:rPr>
        <w:t>10 assegni della categoria “base”, ossia professionalizzanti, quindi dell’importo più basso tra le tre tipologie di assegni che l’Ateneo può bandire.</w:t>
      </w:r>
    </w:p>
    <w:p w:rsidR="00F93FC8" w:rsidRPr="00F93FC8" w:rsidRDefault="00F93FC8" w:rsidP="00956FB5">
      <w:pPr>
        <w:ind w:firstLine="720"/>
        <w:jc w:val="both"/>
        <w:rPr>
          <w:sz w:val="24"/>
          <w:szCs w:val="24"/>
        </w:rPr>
      </w:pPr>
      <w:r w:rsidRPr="00F93FC8">
        <w:rPr>
          <w:sz w:val="24"/>
          <w:szCs w:val="24"/>
        </w:rPr>
        <w:t>Inoltre, nell’ambito della programmazione annuale di Assegni di ricerca finanziati, in tutto o in parte, con risorse dell’Ateneo (cd bando Unico), si rappresenta che anche per l’anno 2017 si è prevista tale iniziativa a sostegno della ricerca scientifica del Politecnico di Bari.</w:t>
      </w:r>
    </w:p>
    <w:p w:rsidR="00956FB5" w:rsidRDefault="00F93FC8" w:rsidP="00956FB5">
      <w:pPr>
        <w:ind w:firstLine="720"/>
        <w:jc w:val="both"/>
        <w:rPr>
          <w:sz w:val="24"/>
          <w:szCs w:val="24"/>
        </w:rPr>
      </w:pPr>
      <w:r w:rsidRPr="00F93FC8">
        <w:rPr>
          <w:sz w:val="24"/>
          <w:szCs w:val="24"/>
        </w:rPr>
        <w:t>In tal caso, i relativi costi sono stati imputati direttamente all’</w:t>
      </w:r>
      <w:r w:rsidR="00956FB5">
        <w:rPr>
          <w:sz w:val="24"/>
          <w:szCs w:val="24"/>
        </w:rPr>
        <w:t xml:space="preserve">esercizio </w:t>
      </w:r>
      <w:r w:rsidRPr="00F93FC8">
        <w:rPr>
          <w:sz w:val="24"/>
          <w:szCs w:val="24"/>
        </w:rPr>
        <w:t xml:space="preserve">2018. Si prevede, infatti, che il Bando Unico Assegni di ricerca 2017 possa essere emanato, come sta accadendo per analoga </w:t>
      </w:r>
      <w:r w:rsidRPr="00956FB5">
        <w:rPr>
          <w:i/>
          <w:sz w:val="24"/>
          <w:szCs w:val="24"/>
        </w:rPr>
        <w:t>call</w:t>
      </w:r>
      <w:r w:rsidRPr="00F93FC8">
        <w:rPr>
          <w:sz w:val="24"/>
          <w:szCs w:val="24"/>
        </w:rPr>
        <w:t xml:space="preserve"> 2</w:t>
      </w:r>
      <w:r w:rsidR="00956FB5">
        <w:rPr>
          <w:sz w:val="24"/>
          <w:szCs w:val="24"/>
        </w:rPr>
        <w:t>0</w:t>
      </w:r>
      <w:r w:rsidRPr="00F93FC8">
        <w:rPr>
          <w:sz w:val="24"/>
          <w:szCs w:val="24"/>
        </w:rPr>
        <w:t>16, alla fine dell’</w:t>
      </w:r>
      <w:r w:rsidR="00956FB5">
        <w:rPr>
          <w:sz w:val="24"/>
          <w:szCs w:val="24"/>
        </w:rPr>
        <w:t xml:space="preserve">esercizio </w:t>
      </w:r>
      <w:r w:rsidRPr="00F93FC8">
        <w:rPr>
          <w:sz w:val="24"/>
          <w:szCs w:val="24"/>
        </w:rPr>
        <w:t>2017.</w:t>
      </w:r>
    </w:p>
    <w:p w:rsidR="00F93FC8" w:rsidRPr="00F93FC8" w:rsidRDefault="00F93FC8" w:rsidP="00956FB5">
      <w:pPr>
        <w:ind w:firstLine="720"/>
        <w:jc w:val="both"/>
        <w:rPr>
          <w:sz w:val="24"/>
          <w:szCs w:val="24"/>
        </w:rPr>
      </w:pPr>
      <w:r w:rsidRPr="00F93FC8">
        <w:rPr>
          <w:sz w:val="24"/>
          <w:szCs w:val="24"/>
        </w:rPr>
        <w:t xml:space="preserve"> </w:t>
      </w:r>
    </w:p>
    <w:p w:rsidR="004800A6" w:rsidRPr="008C4829" w:rsidRDefault="004800A6" w:rsidP="00BC0910">
      <w:pPr>
        <w:jc w:val="both"/>
        <w:rPr>
          <w:color w:val="548DD4" w:themeColor="text2" w:themeTint="99"/>
          <w:sz w:val="24"/>
          <w:szCs w:val="24"/>
        </w:rPr>
      </w:pPr>
    </w:p>
    <w:p w:rsidR="00697DFE" w:rsidRPr="00076C41" w:rsidRDefault="00956FB5" w:rsidP="001108F0">
      <w:pPr>
        <w:pStyle w:val="Titolo3"/>
        <w:ind w:left="0"/>
        <w:jc w:val="both"/>
        <w:rPr>
          <w:i/>
        </w:rPr>
      </w:pPr>
      <w:bookmarkStart w:id="8" w:name="_Toc469659516"/>
      <w:r w:rsidRPr="00076C41">
        <w:rPr>
          <w:i/>
        </w:rPr>
        <w:t>2.1.5 Risorse pr</w:t>
      </w:r>
      <w:r w:rsidR="00B036D6" w:rsidRPr="00076C41">
        <w:rPr>
          <w:i/>
        </w:rPr>
        <w:t>ogettuali da impiegare nel triennio 2017-</w:t>
      </w:r>
      <w:r w:rsidRPr="00076C41">
        <w:rPr>
          <w:i/>
        </w:rPr>
        <w:t>2019</w:t>
      </w:r>
      <w:bookmarkEnd w:id="8"/>
    </w:p>
    <w:p w:rsidR="00956FB5" w:rsidRDefault="00956FB5" w:rsidP="00BC0910">
      <w:pPr>
        <w:jc w:val="both"/>
        <w:rPr>
          <w:i/>
          <w:sz w:val="24"/>
          <w:szCs w:val="24"/>
        </w:rPr>
      </w:pPr>
    </w:p>
    <w:p w:rsidR="00956FB5" w:rsidRDefault="00956FB5" w:rsidP="00BC0910">
      <w:pPr>
        <w:jc w:val="both"/>
        <w:rPr>
          <w:i/>
          <w:sz w:val="24"/>
          <w:szCs w:val="24"/>
        </w:rPr>
      </w:pPr>
    </w:p>
    <w:p w:rsidR="00956FB5" w:rsidRDefault="00697DFE" w:rsidP="00956FB5">
      <w:pPr>
        <w:ind w:firstLine="720"/>
        <w:jc w:val="both"/>
        <w:rPr>
          <w:sz w:val="24"/>
          <w:szCs w:val="24"/>
        </w:rPr>
      </w:pPr>
      <w:r>
        <w:rPr>
          <w:sz w:val="24"/>
          <w:szCs w:val="24"/>
        </w:rPr>
        <w:t>Nell’ambito delle risorse progettuali d’Ateneo, quelle dedicate allo svolgimento di attività di ricerca riguardano prevalentemente i Dipartimenti, mentre gli importi di maggior rilievo per l’Amministrazione sono riconducibili a progetti di edilizia.</w:t>
      </w:r>
    </w:p>
    <w:p w:rsidR="00697DFE" w:rsidRPr="00697DFE" w:rsidRDefault="00697DFE" w:rsidP="00956FB5">
      <w:pPr>
        <w:ind w:firstLine="720"/>
        <w:jc w:val="both"/>
        <w:rPr>
          <w:sz w:val="24"/>
          <w:szCs w:val="24"/>
        </w:rPr>
      </w:pPr>
      <w:r>
        <w:rPr>
          <w:sz w:val="24"/>
          <w:szCs w:val="24"/>
        </w:rPr>
        <w:t xml:space="preserve">Nella seguente </w:t>
      </w:r>
      <w:r w:rsidRPr="00697DFE">
        <w:rPr>
          <w:i/>
          <w:sz w:val="24"/>
          <w:szCs w:val="24"/>
        </w:rPr>
        <w:t>Tabella 6</w:t>
      </w:r>
      <w:r>
        <w:rPr>
          <w:i/>
          <w:sz w:val="24"/>
          <w:szCs w:val="24"/>
        </w:rPr>
        <w:t xml:space="preserve"> </w:t>
      </w:r>
      <w:r>
        <w:rPr>
          <w:sz w:val="24"/>
          <w:szCs w:val="24"/>
        </w:rPr>
        <w:t>è riepilogata la distribuzione dei relativi costi, suddivisi per struttura e per tipologia progettuale.</w:t>
      </w:r>
    </w:p>
    <w:p w:rsidR="00956FB5" w:rsidRDefault="00956FB5" w:rsidP="00956FB5">
      <w:pPr>
        <w:ind w:firstLine="720"/>
        <w:jc w:val="both"/>
        <w:rPr>
          <w:i/>
        </w:rPr>
      </w:pPr>
    </w:p>
    <w:p w:rsidR="00956FB5" w:rsidRDefault="00956FB5" w:rsidP="00956FB5">
      <w:pPr>
        <w:ind w:firstLine="720"/>
        <w:jc w:val="both"/>
        <w:rPr>
          <w:i/>
        </w:rPr>
      </w:pPr>
    </w:p>
    <w:p w:rsidR="00697DFE" w:rsidRPr="005F5522" w:rsidRDefault="00697DFE" w:rsidP="00697DFE">
      <w:pPr>
        <w:ind w:firstLine="720"/>
        <w:jc w:val="both"/>
        <w:rPr>
          <w:sz w:val="24"/>
          <w:szCs w:val="24"/>
        </w:rPr>
      </w:pPr>
      <w:r>
        <w:rPr>
          <w:i/>
        </w:rPr>
        <w:t>Tabella 6: Risorse progettuali di Ateneo – distribuzione dei costi</w:t>
      </w:r>
    </w:p>
    <w:p w:rsidR="00956FB5" w:rsidRDefault="00956FB5" w:rsidP="00956FB5">
      <w:pPr>
        <w:ind w:firstLine="720"/>
        <w:jc w:val="both"/>
        <w:rPr>
          <w:i/>
        </w:rPr>
      </w:pPr>
    </w:p>
    <w:p w:rsidR="00956FB5" w:rsidRDefault="00956FB5" w:rsidP="00956FB5">
      <w:pPr>
        <w:ind w:firstLine="720"/>
        <w:jc w:val="both"/>
        <w:rPr>
          <w:i/>
        </w:rPr>
      </w:pPr>
    </w:p>
    <w:tbl>
      <w:tblPr>
        <w:tblW w:w="8809" w:type="dxa"/>
        <w:tblCellMar>
          <w:left w:w="70" w:type="dxa"/>
          <w:right w:w="70" w:type="dxa"/>
        </w:tblCellMar>
        <w:tblLook w:val="04A0" w:firstRow="1" w:lastRow="0" w:firstColumn="1" w:lastColumn="0" w:noHBand="0" w:noVBand="1"/>
      </w:tblPr>
      <w:tblGrid>
        <w:gridCol w:w="2177"/>
        <w:gridCol w:w="2546"/>
        <w:gridCol w:w="1440"/>
        <w:gridCol w:w="1306"/>
        <w:gridCol w:w="1340"/>
      </w:tblGrid>
      <w:tr w:rsidR="00697DFE" w:rsidRPr="0022599E" w:rsidTr="00A26F05">
        <w:trPr>
          <w:trHeight w:val="245"/>
        </w:trPr>
        <w:tc>
          <w:tcPr>
            <w:tcW w:w="2177" w:type="dxa"/>
            <w:tcBorders>
              <w:top w:val="nil"/>
              <w:left w:val="nil"/>
              <w:bottom w:val="nil"/>
              <w:right w:val="nil"/>
            </w:tcBorders>
            <w:shd w:val="clear" w:color="auto" w:fill="auto"/>
            <w:noWrap/>
            <w:vAlign w:val="bottom"/>
            <w:hideMark/>
          </w:tcPr>
          <w:p w:rsidR="00697DFE" w:rsidRPr="0022599E" w:rsidRDefault="00697DFE" w:rsidP="00A26F05">
            <w:pPr>
              <w:rPr>
                <w:sz w:val="18"/>
                <w:szCs w:val="18"/>
              </w:rPr>
            </w:pPr>
          </w:p>
        </w:tc>
        <w:tc>
          <w:tcPr>
            <w:tcW w:w="2546" w:type="dxa"/>
            <w:tcBorders>
              <w:top w:val="nil"/>
              <w:left w:val="nil"/>
              <w:bottom w:val="nil"/>
              <w:right w:val="nil"/>
            </w:tcBorders>
            <w:shd w:val="clear" w:color="auto" w:fill="auto"/>
            <w:noWrap/>
            <w:vAlign w:val="center"/>
            <w:hideMark/>
          </w:tcPr>
          <w:p w:rsidR="00697DFE" w:rsidRPr="0022599E" w:rsidRDefault="00697DFE" w:rsidP="00A26F05">
            <w:pPr>
              <w:jc w:val="center"/>
              <w:rPr>
                <w:b/>
                <w:bCs/>
                <w:sz w:val="18"/>
                <w:szCs w:val="18"/>
              </w:rPr>
            </w:pPr>
            <w:r w:rsidRPr="0022599E">
              <w:rPr>
                <w:b/>
                <w:bCs/>
                <w:sz w:val="18"/>
                <w:szCs w:val="18"/>
              </w:rPr>
              <w:t xml:space="preserve">TIPO PROGETTO </w:t>
            </w:r>
          </w:p>
        </w:tc>
        <w:tc>
          <w:tcPr>
            <w:tcW w:w="1440" w:type="dxa"/>
            <w:tcBorders>
              <w:top w:val="nil"/>
              <w:left w:val="nil"/>
              <w:bottom w:val="nil"/>
              <w:right w:val="nil"/>
            </w:tcBorders>
            <w:shd w:val="clear" w:color="auto" w:fill="auto"/>
            <w:noWrap/>
            <w:vAlign w:val="center"/>
            <w:hideMark/>
          </w:tcPr>
          <w:p w:rsidR="00697DFE" w:rsidRPr="0022599E" w:rsidRDefault="00697DFE" w:rsidP="00A26F05">
            <w:pPr>
              <w:jc w:val="center"/>
              <w:rPr>
                <w:b/>
                <w:bCs/>
                <w:sz w:val="18"/>
                <w:szCs w:val="18"/>
              </w:rPr>
            </w:pPr>
            <w:r w:rsidRPr="0022599E">
              <w:rPr>
                <w:b/>
                <w:bCs/>
                <w:sz w:val="18"/>
                <w:szCs w:val="18"/>
              </w:rPr>
              <w:t>2017</w:t>
            </w:r>
          </w:p>
        </w:tc>
        <w:tc>
          <w:tcPr>
            <w:tcW w:w="1306" w:type="dxa"/>
            <w:tcBorders>
              <w:top w:val="nil"/>
              <w:left w:val="nil"/>
              <w:bottom w:val="nil"/>
              <w:right w:val="nil"/>
            </w:tcBorders>
            <w:shd w:val="clear" w:color="auto" w:fill="auto"/>
            <w:noWrap/>
            <w:vAlign w:val="center"/>
            <w:hideMark/>
          </w:tcPr>
          <w:p w:rsidR="00697DFE" w:rsidRPr="0022599E" w:rsidRDefault="00697DFE" w:rsidP="00A26F05">
            <w:pPr>
              <w:jc w:val="center"/>
              <w:rPr>
                <w:b/>
                <w:bCs/>
                <w:sz w:val="18"/>
                <w:szCs w:val="18"/>
              </w:rPr>
            </w:pPr>
            <w:r w:rsidRPr="0022599E">
              <w:rPr>
                <w:b/>
                <w:bCs/>
                <w:sz w:val="18"/>
                <w:szCs w:val="18"/>
              </w:rPr>
              <w:t>2018</w:t>
            </w:r>
          </w:p>
        </w:tc>
        <w:tc>
          <w:tcPr>
            <w:tcW w:w="1340" w:type="dxa"/>
            <w:tcBorders>
              <w:top w:val="nil"/>
              <w:left w:val="nil"/>
              <w:bottom w:val="nil"/>
              <w:right w:val="nil"/>
            </w:tcBorders>
            <w:shd w:val="clear" w:color="auto" w:fill="auto"/>
            <w:noWrap/>
            <w:vAlign w:val="center"/>
            <w:hideMark/>
          </w:tcPr>
          <w:p w:rsidR="00697DFE" w:rsidRPr="0022599E" w:rsidRDefault="00697DFE" w:rsidP="00A26F05">
            <w:pPr>
              <w:jc w:val="center"/>
              <w:rPr>
                <w:b/>
                <w:bCs/>
                <w:sz w:val="18"/>
                <w:szCs w:val="18"/>
              </w:rPr>
            </w:pPr>
            <w:r w:rsidRPr="0022599E">
              <w:rPr>
                <w:b/>
                <w:bCs/>
                <w:sz w:val="18"/>
                <w:szCs w:val="18"/>
              </w:rPr>
              <w:t>2019</w:t>
            </w:r>
          </w:p>
        </w:tc>
      </w:tr>
      <w:tr w:rsidR="00697DFE" w:rsidRPr="0022599E" w:rsidTr="00A26F05">
        <w:trPr>
          <w:trHeight w:val="692"/>
        </w:trPr>
        <w:tc>
          <w:tcPr>
            <w:tcW w:w="2177" w:type="dxa"/>
            <w:vMerge w:val="restart"/>
            <w:tcBorders>
              <w:top w:val="single" w:sz="4" w:space="0" w:color="auto"/>
              <w:left w:val="single" w:sz="4" w:space="0" w:color="auto"/>
              <w:bottom w:val="nil"/>
              <w:right w:val="single" w:sz="4" w:space="0" w:color="auto"/>
            </w:tcBorders>
            <w:shd w:val="clear" w:color="000000" w:fill="FFFFFF"/>
            <w:vAlign w:val="center"/>
            <w:hideMark/>
          </w:tcPr>
          <w:p w:rsidR="00697DFE" w:rsidRPr="0022599E" w:rsidRDefault="00697DFE" w:rsidP="00A26F05">
            <w:pPr>
              <w:jc w:val="center"/>
              <w:rPr>
                <w:b/>
                <w:bCs/>
                <w:color w:val="000000"/>
                <w:sz w:val="18"/>
                <w:szCs w:val="18"/>
              </w:rPr>
            </w:pPr>
            <w:r w:rsidRPr="0022599E">
              <w:rPr>
                <w:b/>
                <w:bCs/>
                <w:color w:val="000000"/>
                <w:sz w:val="18"/>
                <w:szCs w:val="18"/>
              </w:rPr>
              <w:t>Dipartimento di Ingegneria Elettrica e dell'Informazione</w:t>
            </w:r>
          </w:p>
        </w:tc>
        <w:tc>
          <w:tcPr>
            <w:tcW w:w="2546" w:type="dxa"/>
            <w:tcBorders>
              <w:top w:val="single" w:sz="4" w:space="0" w:color="auto"/>
              <w:left w:val="nil"/>
              <w:bottom w:val="single" w:sz="4" w:space="0" w:color="auto"/>
              <w:right w:val="single" w:sz="4" w:space="0" w:color="auto"/>
            </w:tcBorders>
            <w:shd w:val="clear" w:color="000000" w:fill="FFFFFF"/>
            <w:hideMark/>
          </w:tcPr>
          <w:p w:rsidR="00697DFE" w:rsidRPr="0022599E" w:rsidRDefault="00697DFE" w:rsidP="00A26F05">
            <w:pPr>
              <w:rPr>
                <w:color w:val="000000"/>
                <w:sz w:val="18"/>
                <w:szCs w:val="18"/>
              </w:rPr>
            </w:pPr>
            <w:r w:rsidRPr="0022599E">
              <w:rPr>
                <w:color w:val="000000"/>
                <w:sz w:val="18"/>
                <w:szCs w:val="18"/>
              </w:rPr>
              <w:t>Progetti Ricerca Nazionali - Ministeriali/ Enti pubblici e privati Nazionali/PON</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787.083,00</w:t>
            </w:r>
          </w:p>
        </w:tc>
        <w:tc>
          <w:tcPr>
            <w:tcW w:w="1306" w:type="dxa"/>
            <w:tcBorders>
              <w:top w:val="single" w:sz="4" w:space="0" w:color="auto"/>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149.813,00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117.463,00</w:t>
            </w:r>
          </w:p>
        </w:tc>
      </w:tr>
      <w:tr w:rsidR="00697DFE" w:rsidRPr="0022599E" w:rsidTr="00A26F05">
        <w:trPr>
          <w:trHeight w:val="461"/>
        </w:trPr>
        <w:tc>
          <w:tcPr>
            <w:tcW w:w="2177" w:type="dxa"/>
            <w:vMerge/>
            <w:tcBorders>
              <w:top w:val="single" w:sz="4" w:space="0" w:color="auto"/>
              <w:left w:val="single" w:sz="4" w:space="0" w:color="auto"/>
              <w:bottom w:val="nil"/>
              <w:right w:val="single" w:sz="4" w:space="0" w:color="auto"/>
            </w:tcBorders>
            <w:vAlign w:val="center"/>
            <w:hideMark/>
          </w:tcPr>
          <w:p w:rsidR="00697DFE" w:rsidRPr="0022599E" w:rsidRDefault="00697DFE" w:rsidP="00A26F05">
            <w:pPr>
              <w:rPr>
                <w:b/>
                <w:bCs/>
                <w:color w:val="000000"/>
                <w:sz w:val="18"/>
                <w:szCs w:val="18"/>
              </w:rPr>
            </w:pPr>
          </w:p>
        </w:tc>
        <w:tc>
          <w:tcPr>
            <w:tcW w:w="2546" w:type="dxa"/>
            <w:tcBorders>
              <w:top w:val="nil"/>
              <w:left w:val="nil"/>
              <w:bottom w:val="single" w:sz="4" w:space="0" w:color="auto"/>
              <w:right w:val="single" w:sz="4" w:space="0" w:color="auto"/>
            </w:tcBorders>
            <w:shd w:val="clear" w:color="000000" w:fill="FFFFFF"/>
            <w:hideMark/>
          </w:tcPr>
          <w:p w:rsidR="00697DFE" w:rsidRPr="0022599E" w:rsidRDefault="00697DFE" w:rsidP="00A26F05">
            <w:pPr>
              <w:rPr>
                <w:color w:val="000000"/>
                <w:sz w:val="18"/>
                <w:szCs w:val="18"/>
              </w:rPr>
            </w:pPr>
            <w:r w:rsidRPr="0022599E">
              <w:rPr>
                <w:color w:val="000000"/>
                <w:sz w:val="18"/>
                <w:szCs w:val="18"/>
              </w:rPr>
              <w:t>Progetti Edilizia Nazionali - Ministeriali</w:t>
            </w:r>
          </w:p>
        </w:tc>
        <w:tc>
          <w:tcPr>
            <w:tcW w:w="1440"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4.730,00</w:t>
            </w:r>
          </w:p>
        </w:tc>
        <w:tc>
          <w:tcPr>
            <w:tcW w:w="1306"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0,00</w:t>
            </w:r>
          </w:p>
        </w:tc>
        <w:tc>
          <w:tcPr>
            <w:tcW w:w="1340"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0,00</w:t>
            </w:r>
          </w:p>
        </w:tc>
      </w:tr>
      <w:tr w:rsidR="00697DFE" w:rsidRPr="0022599E" w:rsidTr="00A26F05">
        <w:trPr>
          <w:trHeight w:val="692"/>
        </w:trPr>
        <w:tc>
          <w:tcPr>
            <w:tcW w:w="2177" w:type="dxa"/>
            <w:vMerge/>
            <w:tcBorders>
              <w:top w:val="single" w:sz="4" w:space="0" w:color="auto"/>
              <w:left w:val="single" w:sz="4" w:space="0" w:color="auto"/>
              <w:bottom w:val="nil"/>
              <w:right w:val="single" w:sz="4" w:space="0" w:color="auto"/>
            </w:tcBorders>
            <w:vAlign w:val="center"/>
            <w:hideMark/>
          </w:tcPr>
          <w:p w:rsidR="00697DFE" w:rsidRPr="0022599E" w:rsidRDefault="00697DFE" w:rsidP="00A26F05">
            <w:pPr>
              <w:rPr>
                <w:b/>
                <w:bCs/>
                <w:color w:val="000000"/>
                <w:sz w:val="18"/>
                <w:szCs w:val="18"/>
              </w:rPr>
            </w:pPr>
          </w:p>
        </w:tc>
        <w:tc>
          <w:tcPr>
            <w:tcW w:w="2546" w:type="dxa"/>
            <w:tcBorders>
              <w:top w:val="nil"/>
              <w:left w:val="nil"/>
              <w:bottom w:val="single" w:sz="4" w:space="0" w:color="auto"/>
              <w:right w:val="single" w:sz="4" w:space="0" w:color="auto"/>
            </w:tcBorders>
            <w:shd w:val="clear" w:color="000000" w:fill="FFFFFF"/>
            <w:hideMark/>
          </w:tcPr>
          <w:p w:rsidR="00697DFE" w:rsidRPr="0022599E" w:rsidRDefault="00697DFE" w:rsidP="00A26F05">
            <w:pPr>
              <w:rPr>
                <w:color w:val="000000"/>
                <w:sz w:val="18"/>
                <w:szCs w:val="18"/>
              </w:rPr>
            </w:pPr>
            <w:r w:rsidRPr="0022599E">
              <w:rPr>
                <w:color w:val="000000"/>
                <w:sz w:val="18"/>
                <w:szCs w:val="18"/>
              </w:rPr>
              <w:t>Contratti e Convenzioni Attività Commerciale/Progetti di ricerca Fondazioni</w:t>
            </w:r>
          </w:p>
        </w:tc>
        <w:tc>
          <w:tcPr>
            <w:tcW w:w="1440"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609.517,00</w:t>
            </w:r>
          </w:p>
        </w:tc>
        <w:tc>
          <w:tcPr>
            <w:tcW w:w="1306"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115.000,00</w:t>
            </w:r>
          </w:p>
        </w:tc>
        <w:tc>
          <w:tcPr>
            <w:tcW w:w="1340"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0,00</w:t>
            </w:r>
          </w:p>
        </w:tc>
      </w:tr>
      <w:tr w:rsidR="00697DFE" w:rsidRPr="0022599E" w:rsidTr="00A26F05">
        <w:trPr>
          <w:trHeight w:val="245"/>
        </w:trPr>
        <w:tc>
          <w:tcPr>
            <w:tcW w:w="2177" w:type="dxa"/>
            <w:vMerge/>
            <w:tcBorders>
              <w:top w:val="single" w:sz="4" w:space="0" w:color="auto"/>
              <w:left w:val="single" w:sz="4" w:space="0" w:color="auto"/>
              <w:bottom w:val="nil"/>
              <w:right w:val="single" w:sz="4" w:space="0" w:color="auto"/>
            </w:tcBorders>
            <w:vAlign w:val="center"/>
            <w:hideMark/>
          </w:tcPr>
          <w:p w:rsidR="00697DFE" w:rsidRPr="0022599E" w:rsidRDefault="00697DFE" w:rsidP="00A26F05">
            <w:pPr>
              <w:rPr>
                <w:b/>
                <w:bCs/>
                <w:color w:val="000000"/>
                <w:sz w:val="18"/>
                <w:szCs w:val="18"/>
              </w:rPr>
            </w:pPr>
          </w:p>
        </w:tc>
        <w:tc>
          <w:tcPr>
            <w:tcW w:w="2546" w:type="dxa"/>
            <w:tcBorders>
              <w:top w:val="nil"/>
              <w:left w:val="nil"/>
              <w:bottom w:val="single" w:sz="4" w:space="0" w:color="auto"/>
              <w:right w:val="single" w:sz="4" w:space="0" w:color="auto"/>
            </w:tcBorders>
            <w:shd w:val="clear" w:color="000000" w:fill="FFFFFF"/>
            <w:hideMark/>
          </w:tcPr>
          <w:p w:rsidR="00697DFE" w:rsidRPr="0022599E" w:rsidRDefault="00697DFE" w:rsidP="00A26F05">
            <w:pPr>
              <w:rPr>
                <w:color w:val="000000"/>
                <w:sz w:val="18"/>
                <w:szCs w:val="18"/>
              </w:rPr>
            </w:pPr>
            <w:r w:rsidRPr="0022599E">
              <w:rPr>
                <w:color w:val="000000"/>
                <w:sz w:val="18"/>
                <w:szCs w:val="18"/>
              </w:rPr>
              <w:t>Progetti Ricerca Regionali POR</w:t>
            </w:r>
          </w:p>
        </w:tc>
        <w:tc>
          <w:tcPr>
            <w:tcW w:w="1440"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328.667,00</w:t>
            </w:r>
          </w:p>
        </w:tc>
        <w:tc>
          <w:tcPr>
            <w:tcW w:w="1306"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18.034,00</w:t>
            </w:r>
          </w:p>
        </w:tc>
        <w:tc>
          <w:tcPr>
            <w:tcW w:w="1340"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0,00</w:t>
            </w:r>
          </w:p>
        </w:tc>
      </w:tr>
      <w:tr w:rsidR="00697DFE" w:rsidRPr="0022599E" w:rsidTr="00A26F05">
        <w:trPr>
          <w:trHeight w:val="461"/>
        </w:trPr>
        <w:tc>
          <w:tcPr>
            <w:tcW w:w="2177" w:type="dxa"/>
            <w:vMerge/>
            <w:tcBorders>
              <w:top w:val="single" w:sz="4" w:space="0" w:color="auto"/>
              <w:left w:val="single" w:sz="4" w:space="0" w:color="auto"/>
              <w:bottom w:val="nil"/>
              <w:right w:val="single" w:sz="4" w:space="0" w:color="auto"/>
            </w:tcBorders>
            <w:vAlign w:val="center"/>
            <w:hideMark/>
          </w:tcPr>
          <w:p w:rsidR="00697DFE" w:rsidRPr="0022599E" w:rsidRDefault="00697DFE" w:rsidP="00A26F05">
            <w:pPr>
              <w:rPr>
                <w:b/>
                <w:bCs/>
                <w:color w:val="000000"/>
                <w:sz w:val="18"/>
                <w:szCs w:val="18"/>
              </w:rPr>
            </w:pPr>
          </w:p>
        </w:tc>
        <w:tc>
          <w:tcPr>
            <w:tcW w:w="2546" w:type="dxa"/>
            <w:tcBorders>
              <w:top w:val="nil"/>
              <w:left w:val="nil"/>
              <w:bottom w:val="single" w:sz="4" w:space="0" w:color="auto"/>
              <w:right w:val="single" w:sz="4" w:space="0" w:color="auto"/>
            </w:tcBorders>
            <w:shd w:val="clear" w:color="000000" w:fill="FFFFFF"/>
            <w:hideMark/>
          </w:tcPr>
          <w:p w:rsidR="00697DFE" w:rsidRPr="0022599E" w:rsidRDefault="00697DFE" w:rsidP="00A26F05">
            <w:pPr>
              <w:rPr>
                <w:color w:val="000000"/>
                <w:sz w:val="18"/>
                <w:szCs w:val="18"/>
              </w:rPr>
            </w:pPr>
            <w:r w:rsidRPr="0022599E">
              <w:rPr>
                <w:color w:val="000000"/>
                <w:sz w:val="18"/>
                <w:szCs w:val="18"/>
              </w:rPr>
              <w:t>Progetti Ricerca Unione Europea Programmi Quadro</w:t>
            </w:r>
          </w:p>
        </w:tc>
        <w:tc>
          <w:tcPr>
            <w:tcW w:w="1440"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1.162.675,00</w:t>
            </w:r>
          </w:p>
        </w:tc>
        <w:tc>
          <w:tcPr>
            <w:tcW w:w="1306"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574.261,00</w:t>
            </w:r>
          </w:p>
        </w:tc>
        <w:tc>
          <w:tcPr>
            <w:tcW w:w="1340"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417.814,00</w:t>
            </w:r>
          </w:p>
        </w:tc>
      </w:tr>
      <w:tr w:rsidR="00697DFE" w:rsidRPr="0022599E" w:rsidTr="00A26F05">
        <w:trPr>
          <w:trHeight w:val="461"/>
        </w:trPr>
        <w:tc>
          <w:tcPr>
            <w:tcW w:w="2177" w:type="dxa"/>
            <w:vMerge/>
            <w:tcBorders>
              <w:top w:val="single" w:sz="4" w:space="0" w:color="auto"/>
              <w:left w:val="single" w:sz="4" w:space="0" w:color="auto"/>
              <w:bottom w:val="nil"/>
              <w:right w:val="single" w:sz="4" w:space="0" w:color="auto"/>
            </w:tcBorders>
            <w:vAlign w:val="center"/>
            <w:hideMark/>
          </w:tcPr>
          <w:p w:rsidR="00697DFE" w:rsidRPr="0022599E" w:rsidRDefault="00697DFE" w:rsidP="00A26F05">
            <w:pPr>
              <w:rPr>
                <w:b/>
                <w:bCs/>
                <w:color w:val="000000"/>
                <w:sz w:val="18"/>
                <w:szCs w:val="18"/>
              </w:rPr>
            </w:pPr>
          </w:p>
        </w:tc>
        <w:tc>
          <w:tcPr>
            <w:tcW w:w="2546" w:type="dxa"/>
            <w:tcBorders>
              <w:top w:val="nil"/>
              <w:left w:val="nil"/>
              <w:bottom w:val="nil"/>
              <w:right w:val="single" w:sz="4" w:space="0" w:color="auto"/>
            </w:tcBorders>
            <w:shd w:val="clear" w:color="000000" w:fill="FFFFFF"/>
            <w:hideMark/>
          </w:tcPr>
          <w:p w:rsidR="00697DFE" w:rsidRPr="0022599E" w:rsidRDefault="00697DFE" w:rsidP="00A26F05">
            <w:pPr>
              <w:rPr>
                <w:color w:val="000000"/>
                <w:sz w:val="18"/>
                <w:szCs w:val="18"/>
              </w:rPr>
            </w:pPr>
            <w:r w:rsidRPr="0022599E">
              <w:rPr>
                <w:color w:val="000000"/>
                <w:sz w:val="18"/>
                <w:szCs w:val="18"/>
              </w:rPr>
              <w:t>Altri fondi per la ricerca istituzionale</w:t>
            </w:r>
          </w:p>
        </w:tc>
        <w:tc>
          <w:tcPr>
            <w:tcW w:w="1440" w:type="dxa"/>
            <w:tcBorders>
              <w:top w:val="nil"/>
              <w:left w:val="nil"/>
              <w:bottom w:val="nil"/>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103.600,00</w:t>
            </w:r>
          </w:p>
        </w:tc>
        <w:tc>
          <w:tcPr>
            <w:tcW w:w="1306" w:type="dxa"/>
            <w:tcBorders>
              <w:top w:val="nil"/>
              <w:left w:val="nil"/>
              <w:bottom w:val="nil"/>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14.200,00</w:t>
            </w:r>
          </w:p>
        </w:tc>
        <w:tc>
          <w:tcPr>
            <w:tcW w:w="1340" w:type="dxa"/>
            <w:tcBorders>
              <w:top w:val="nil"/>
              <w:left w:val="nil"/>
              <w:bottom w:val="nil"/>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7.000,00</w:t>
            </w:r>
          </w:p>
        </w:tc>
      </w:tr>
      <w:tr w:rsidR="00697DFE" w:rsidRPr="0022599E" w:rsidTr="00A26F05">
        <w:trPr>
          <w:trHeight w:val="245"/>
        </w:trPr>
        <w:tc>
          <w:tcPr>
            <w:tcW w:w="2177" w:type="dxa"/>
            <w:tcBorders>
              <w:top w:val="single" w:sz="4" w:space="0" w:color="auto"/>
              <w:left w:val="single" w:sz="4" w:space="0" w:color="auto"/>
              <w:bottom w:val="single" w:sz="4" w:space="0" w:color="auto"/>
              <w:right w:val="nil"/>
            </w:tcBorders>
            <w:shd w:val="clear" w:color="auto" w:fill="auto"/>
            <w:noWrap/>
            <w:vAlign w:val="bottom"/>
            <w:hideMark/>
          </w:tcPr>
          <w:p w:rsidR="00697DFE" w:rsidRPr="0022599E" w:rsidRDefault="00697DFE" w:rsidP="00A26F05">
            <w:pPr>
              <w:rPr>
                <w:sz w:val="18"/>
                <w:szCs w:val="18"/>
              </w:rPr>
            </w:pPr>
            <w:r w:rsidRPr="0022599E">
              <w:rPr>
                <w:sz w:val="18"/>
                <w:szCs w:val="18"/>
              </w:rPr>
              <w:t> </w:t>
            </w:r>
          </w:p>
        </w:tc>
        <w:tc>
          <w:tcPr>
            <w:tcW w:w="2546" w:type="dxa"/>
            <w:tcBorders>
              <w:top w:val="single" w:sz="4" w:space="0" w:color="auto"/>
              <w:left w:val="nil"/>
              <w:bottom w:val="single" w:sz="4" w:space="0" w:color="auto"/>
              <w:right w:val="single" w:sz="4" w:space="0" w:color="auto"/>
            </w:tcBorders>
            <w:shd w:val="clear" w:color="000000" w:fill="FFFFFF"/>
            <w:hideMark/>
          </w:tcPr>
          <w:p w:rsidR="00697DFE" w:rsidRPr="0022599E" w:rsidRDefault="00697DFE" w:rsidP="00A26F05">
            <w:pPr>
              <w:rPr>
                <w:color w:val="000000"/>
                <w:sz w:val="18"/>
                <w:szCs w:val="18"/>
              </w:rPr>
            </w:pPr>
            <w:r w:rsidRPr="0022599E">
              <w:rPr>
                <w:color w:val="000000"/>
                <w:sz w:val="18"/>
                <w:szCs w:val="18"/>
              </w:rPr>
              <w:t> </w:t>
            </w:r>
          </w:p>
        </w:tc>
        <w:tc>
          <w:tcPr>
            <w:tcW w:w="1440" w:type="dxa"/>
            <w:tcBorders>
              <w:top w:val="single" w:sz="4" w:space="0" w:color="auto"/>
              <w:left w:val="nil"/>
              <w:bottom w:val="single" w:sz="4" w:space="0" w:color="auto"/>
              <w:right w:val="single" w:sz="4" w:space="0" w:color="auto"/>
            </w:tcBorders>
            <w:shd w:val="clear" w:color="000000" w:fill="FFFFFF"/>
            <w:hideMark/>
          </w:tcPr>
          <w:p w:rsidR="00697DFE" w:rsidRPr="0022599E" w:rsidRDefault="00697DFE" w:rsidP="00A26F05">
            <w:pPr>
              <w:jc w:val="right"/>
              <w:rPr>
                <w:b/>
                <w:bCs/>
                <w:color w:val="000000"/>
                <w:sz w:val="18"/>
                <w:szCs w:val="18"/>
              </w:rPr>
            </w:pPr>
            <w:r w:rsidRPr="0022599E">
              <w:rPr>
                <w:b/>
                <w:bCs/>
                <w:color w:val="000000"/>
                <w:sz w:val="18"/>
                <w:szCs w:val="18"/>
              </w:rPr>
              <w:t>2.996.272,00</w:t>
            </w:r>
          </w:p>
        </w:tc>
        <w:tc>
          <w:tcPr>
            <w:tcW w:w="1306" w:type="dxa"/>
            <w:tcBorders>
              <w:top w:val="single" w:sz="4" w:space="0" w:color="auto"/>
              <w:left w:val="nil"/>
              <w:bottom w:val="single" w:sz="4" w:space="0" w:color="auto"/>
              <w:right w:val="single" w:sz="4" w:space="0" w:color="auto"/>
            </w:tcBorders>
            <w:shd w:val="clear" w:color="000000" w:fill="FFFFFF"/>
            <w:hideMark/>
          </w:tcPr>
          <w:p w:rsidR="00697DFE" w:rsidRPr="0022599E" w:rsidRDefault="00697DFE" w:rsidP="00A26F05">
            <w:pPr>
              <w:jc w:val="right"/>
              <w:rPr>
                <w:b/>
                <w:bCs/>
                <w:color w:val="000000"/>
                <w:sz w:val="18"/>
                <w:szCs w:val="18"/>
              </w:rPr>
            </w:pPr>
            <w:r w:rsidRPr="0022599E">
              <w:rPr>
                <w:b/>
                <w:bCs/>
                <w:color w:val="000000"/>
                <w:sz w:val="18"/>
                <w:szCs w:val="18"/>
              </w:rPr>
              <w:t>871.308,00</w:t>
            </w:r>
          </w:p>
        </w:tc>
        <w:tc>
          <w:tcPr>
            <w:tcW w:w="1340" w:type="dxa"/>
            <w:tcBorders>
              <w:top w:val="single" w:sz="4" w:space="0" w:color="auto"/>
              <w:left w:val="nil"/>
              <w:bottom w:val="single" w:sz="4" w:space="0" w:color="auto"/>
              <w:right w:val="single" w:sz="4" w:space="0" w:color="auto"/>
            </w:tcBorders>
            <w:shd w:val="clear" w:color="000000" w:fill="FFFFFF"/>
            <w:hideMark/>
          </w:tcPr>
          <w:p w:rsidR="00697DFE" w:rsidRPr="0022599E" w:rsidRDefault="00697DFE" w:rsidP="00A26F05">
            <w:pPr>
              <w:jc w:val="right"/>
              <w:rPr>
                <w:b/>
                <w:bCs/>
                <w:color w:val="000000"/>
                <w:sz w:val="18"/>
                <w:szCs w:val="18"/>
              </w:rPr>
            </w:pPr>
            <w:r w:rsidRPr="0022599E">
              <w:rPr>
                <w:b/>
                <w:bCs/>
                <w:color w:val="000000"/>
                <w:sz w:val="18"/>
                <w:szCs w:val="18"/>
              </w:rPr>
              <w:t>542.277,00</w:t>
            </w:r>
          </w:p>
        </w:tc>
      </w:tr>
      <w:tr w:rsidR="00697DFE" w:rsidRPr="0022599E" w:rsidTr="00A26F05">
        <w:trPr>
          <w:trHeight w:val="692"/>
        </w:trPr>
        <w:tc>
          <w:tcPr>
            <w:tcW w:w="2177" w:type="dxa"/>
            <w:vMerge w:val="restart"/>
            <w:tcBorders>
              <w:top w:val="nil"/>
              <w:left w:val="single" w:sz="4" w:space="0" w:color="auto"/>
              <w:bottom w:val="nil"/>
              <w:right w:val="single" w:sz="4" w:space="0" w:color="auto"/>
            </w:tcBorders>
            <w:shd w:val="clear" w:color="000000" w:fill="FFFFFF"/>
            <w:vAlign w:val="center"/>
            <w:hideMark/>
          </w:tcPr>
          <w:p w:rsidR="00697DFE" w:rsidRPr="0022599E" w:rsidRDefault="00697DFE" w:rsidP="00A26F05">
            <w:pPr>
              <w:jc w:val="center"/>
              <w:rPr>
                <w:b/>
                <w:bCs/>
                <w:color w:val="000000"/>
                <w:sz w:val="18"/>
                <w:szCs w:val="18"/>
              </w:rPr>
            </w:pPr>
            <w:r w:rsidRPr="0022599E">
              <w:rPr>
                <w:b/>
                <w:bCs/>
                <w:color w:val="000000"/>
                <w:sz w:val="18"/>
                <w:szCs w:val="18"/>
              </w:rPr>
              <w:t>Dipartimento di Scienze dell'Ingegneria Civile e dell'Architettura</w:t>
            </w:r>
          </w:p>
        </w:tc>
        <w:tc>
          <w:tcPr>
            <w:tcW w:w="2546" w:type="dxa"/>
            <w:tcBorders>
              <w:top w:val="nil"/>
              <w:left w:val="nil"/>
              <w:bottom w:val="single" w:sz="4" w:space="0" w:color="auto"/>
              <w:right w:val="single" w:sz="4" w:space="0" w:color="auto"/>
            </w:tcBorders>
            <w:shd w:val="clear" w:color="000000" w:fill="FFFFFF"/>
            <w:hideMark/>
          </w:tcPr>
          <w:p w:rsidR="00697DFE" w:rsidRPr="0022599E" w:rsidRDefault="00697DFE" w:rsidP="00A26F05">
            <w:pPr>
              <w:rPr>
                <w:color w:val="000000"/>
                <w:sz w:val="18"/>
                <w:szCs w:val="18"/>
              </w:rPr>
            </w:pPr>
            <w:r w:rsidRPr="0022599E">
              <w:rPr>
                <w:color w:val="000000"/>
                <w:sz w:val="18"/>
                <w:szCs w:val="18"/>
              </w:rPr>
              <w:t>Progetti Ricerca Nazionali - Ministeriali/ Enti pubblici e privati Nazionali/PON</w:t>
            </w:r>
          </w:p>
        </w:tc>
        <w:tc>
          <w:tcPr>
            <w:tcW w:w="1440"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62.757,00</w:t>
            </w:r>
          </w:p>
        </w:tc>
        <w:tc>
          <w:tcPr>
            <w:tcW w:w="1306"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0,00</w:t>
            </w:r>
          </w:p>
        </w:tc>
        <w:tc>
          <w:tcPr>
            <w:tcW w:w="1340"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0,00</w:t>
            </w:r>
          </w:p>
        </w:tc>
      </w:tr>
      <w:tr w:rsidR="00697DFE" w:rsidRPr="0022599E" w:rsidTr="00A26F05">
        <w:trPr>
          <w:trHeight w:val="692"/>
        </w:trPr>
        <w:tc>
          <w:tcPr>
            <w:tcW w:w="2177" w:type="dxa"/>
            <w:vMerge/>
            <w:tcBorders>
              <w:top w:val="nil"/>
              <w:left w:val="single" w:sz="4" w:space="0" w:color="auto"/>
              <w:bottom w:val="nil"/>
              <w:right w:val="single" w:sz="4" w:space="0" w:color="auto"/>
            </w:tcBorders>
            <w:vAlign w:val="center"/>
            <w:hideMark/>
          </w:tcPr>
          <w:p w:rsidR="00697DFE" w:rsidRPr="0022599E" w:rsidRDefault="00697DFE" w:rsidP="00A26F05">
            <w:pPr>
              <w:rPr>
                <w:b/>
                <w:bCs/>
                <w:color w:val="000000"/>
                <w:sz w:val="18"/>
                <w:szCs w:val="18"/>
              </w:rPr>
            </w:pPr>
          </w:p>
        </w:tc>
        <w:tc>
          <w:tcPr>
            <w:tcW w:w="2546" w:type="dxa"/>
            <w:tcBorders>
              <w:top w:val="nil"/>
              <w:left w:val="nil"/>
              <w:bottom w:val="single" w:sz="4" w:space="0" w:color="auto"/>
              <w:right w:val="single" w:sz="4" w:space="0" w:color="auto"/>
            </w:tcBorders>
            <w:shd w:val="clear" w:color="000000" w:fill="FFFFFF"/>
            <w:hideMark/>
          </w:tcPr>
          <w:p w:rsidR="00697DFE" w:rsidRPr="0022599E" w:rsidRDefault="00697DFE" w:rsidP="00A26F05">
            <w:pPr>
              <w:rPr>
                <w:color w:val="000000"/>
                <w:sz w:val="18"/>
                <w:szCs w:val="18"/>
              </w:rPr>
            </w:pPr>
            <w:r w:rsidRPr="0022599E">
              <w:rPr>
                <w:color w:val="000000"/>
                <w:sz w:val="18"/>
                <w:szCs w:val="18"/>
              </w:rPr>
              <w:t>Fondi per la Didattica/Orientamento/Scuola specializzazione</w:t>
            </w:r>
          </w:p>
        </w:tc>
        <w:tc>
          <w:tcPr>
            <w:tcW w:w="1440"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92.500,00</w:t>
            </w:r>
          </w:p>
        </w:tc>
        <w:tc>
          <w:tcPr>
            <w:tcW w:w="1306"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92.500,00</w:t>
            </w:r>
          </w:p>
        </w:tc>
        <w:tc>
          <w:tcPr>
            <w:tcW w:w="1340"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92.500,00</w:t>
            </w:r>
          </w:p>
        </w:tc>
      </w:tr>
      <w:tr w:rsidR="00697DFE" w:rsidRPr="0022599E" w:rsidTr="00A26F05">
        <w:trPr>
          <w:trHeight w:val="692"/>
        </w:trPr>
        <w:tc>
          <w:tcPr>
            <w:tcW w:w="2177" w:type="dxa"/>
            <w:vMerge/>
            <w:tcBorders>
              <w:top w:val="nil"/>
              <w:left w:val="single" w:sz="4" w:space="0" w:color="auto"/>
              <w:bottom w:val="nil"/>
              <w:right w:val="single" w:sz="4" w:space="0" w:color="auto"/>
            </w:tcBorders>
            <w:vAlign w:val="center"/>
            <w:hideMark/>
          </w:tcPr>
          <w:p w:rsidR="00697DFE" w:rsidRPr="0022599E" w:rsidRDefault="00697DFE" w:rsidP="00A26F05">
            <w:pPr>
              <w:rPr>
                <w:b/>
                <w:bCs/>
                <w:color w:val="000000"/>
                <w:sz w:val="18"/>
                <w:szCs w:val="18"/>
              </w:rPr>
            </w:pPr>
          </w:p>
        </w:tc>
        <w:tc>
          <w:tcPr>
            <w:tcW w:w="2546" w:type="dxa"/>
            <w:tcBorders>
              <w:top w:val="nil"/>
              <w:left w:val="nil"/>
              <w:bottom w:val="single" w:sz="4" w:space="0" w:color="auto"/>
              <w:right w:val="single" w:sz="4" w:space="0" w:color="auto"/>
            </w:tcBorders>
            <w:shd w:val="clear" w:color="000000" w:fill="FFFFFF"/>
            <w:hideMark/>
          </w:tcPr>
          <w:p w:rsidR="00697DFE" w:rsidRPr="0022599E" w:rsidRDefault="00697DFE" w:rsidP="00A26F05">
            <w:pPr>
              <w:rPr>
                <w:color w:val="000000"/>
                <w:sz w:val="18"/>
                <w:szCs w:val="18"/>
              </w:rPr>
            </w:pPr>
            <w:r w:rsidRPr="0022599E">
              <w:rPr>
                <w:color w:val="000000"/>
                <w:sz w:val="18"/>
                <w:szCs w:val="18"/>
              </w:rPr>
              <w:t>Contratti e Convenzioni Attività Commerciale/Progetti di ricerca Fondazioni</w:t>
            </w:r>
          </w:p>
        </w:tc>
        <w:tc>
          <w:tcPr>
            <w:tcW w:w="1440"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147.334,00</w:t>
            </w:r>
          </w:p>
        </w:tc>
        <w:tc>
          <w:tcPr>
            <w:tcW w:w="1306"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24.000,00</w:t>
            </w:r>
          </w:p>
        </w:tc>
        <w:tc>
          <w:tcPr>
            <w:tcW w:w="1340"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24.000,00</w:t>
            </w:r>
          </w:p>
        </w:tc>
      </w:tr>
      <w:tr w:rsidR="00697DFE" w:rsidRPr="0022599E" w:rsidTr="00A26F05">
        <w:trPr>
          <w:trHeight w:val="245"/>
        </w:trPr>
        <w:tc>
          <w:tcPr>
            <w:tcW w:w="2177" w:type="dxa"/>
            <w:vMerge/>
            <w:tcBorders>
              <w:top w:val="nil"/>
              <w:left w:val="single" w:sz="4" w:space="0" w:color="auto"/>
              <w:bottom w:val="nil"/>
              <w:right w:val="single" w:sz="4" w:space="0" w:color="auto"/>
            </w:tcBorders>
            <w:vAlign w:val="center"/>
            <w:hideMark/>
          </w:tcPr>
          <w:p w:rsidR="00697DFE" w:rsidRPr="0022599E" w:rsidRDefault="00697DFE" w:rsidP="00A26F05">
            <w:pPr>
              <w:rPr>
                <w:b/>
                <w:bCs/>
                <w:color w:val="000000"/>
                <w:sz w:val="18"/>
                <w:szCs w:val="18"/>
              </w:rPr>
            </w:pPr>
          </w:p>
        </w:tc>
        <w:tc>
          <w:tcPr>
            <w:tcW w:w="2546" w:type="dxa"/>
            <w:tcBorders>
              <w:top w:val="nil"/>
              <w:left w:val="nil"/>
              <w:bottom w:val="nil"/>
              <w:right w:val="single" w:sz="4" w:space="0" w:color="auto"/>
            </w:tcBorders>
            <w:shd w:val="clear" w:color="000000" w:fill="FFFFFF"/>
            <w:hideMark/>
          </w:tcPr>
          <w:p w:rsidR="00697DFE" w:rsidRPr="0022599E" w:rsidRDefault="00697DFE" w:rsidP="00A26F05">
            <w:pPr>
              <w:rPr>
                <w:color w:val="000000"/>
                <w:sz w:val="18"/>
                <w:szCs w:val="18"/>
              </w:rPr>
            </w:pPr>
            <w:r w:rsidRPr="0022599E">
              <w:rPr>
                <w:color w:val="000000"/>
                <w:sz w:val="18"/>
                <w:szCs w:val="18"/>
              </w:rPr>
              <w:t>Altri fondi per la ricerca istituzionale</w:t>
            </w:r>
          </w:p>
        </w:tc>
        <w:tc>
          <w:tcPr>
            <w:tcW w:w="1440"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14.684,00</w:t>
            </w:r>
          </w:p>
        </w:tc>
        <w:tc>
          <w:tcPr>
            <w:tcW w:w="1306"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7.760,00</w:t>
            </w:r>
          </w:p>
        </w:tc>
        <w:tc>
          <w:tcPr>
            <w:tcW w:w="1340"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0,00</w:t>
            </w:r>
          </w:p>
        </w:tc>
      </w:tr>
      <w:tr w:rsidR="00697DFE" w:rsidRPr="0022599E" w:rsidTr="00A26F05">
        <w:trPr>
          <w:trHeight w:val="245"/>
        </w:trPr>
        <w:tc>
          <w:tcPr>
            <w:tcW w:w="2177" w:type="dxa"/>
            <w:tcBorders>
              <w:top w:val="single" w:sz="4" w:space="0" w:color="auto"/>
              <w:left w:val="single" w:sz="4" w:space="0" w:color="auto"/>
              <w:bottom w:val="single" w:sz="4" w:space="0" w:color="auto"/>
              <w:right w:val="nil"/>
            </w:tcBorders>
            <w:shd w:val="clear" w:color="auto" w:fill="auto"/>
            <w:noWrap/>
            <w:vAlign w:val="bottom"/>
            <w:hideMark/>
          </w:tcPr>
          <w:p w:rsidR="00697DFE" w:rsidRPr="0022599E" w:rsidRDefault="00697DFE" w:rsidP="00A26F05">
            <w:pPr>
              <w:rPr>
                <w:sz w:val="18"/>
                <w:szCs w:val="18"/>
              </w:rPr>
            </w:pPr>
            <w:r w:rsidRPr="0022599E">
              <w:rPr>
                <w:sz w:val="18"/>
                <w:szCs w:val="18"/>
              </w:rPr>
              <w:t> </w:t>
            </w:r>
          </w:p>
        </w:tc>
        <w:tc>
          <w:tcPr>
            <w:tcW w:w="2546" w:type="dxa"/>
            <w:tcBorders>
              <w:top w:val="single" w:sz="4" w:space="0" w:color="auto"/>
              <w:left w:val="nil"/>
              <w:bottom w:val="single" w:sz="4" w:space="0" w:color="auto"/>
              <w:right w:val="single" w:sz="4" w:space="0" w:color="auto"/>
            </w:tcBorders>
            <w:shd w:val="clear" w:color="000000" w:fill="FFFFFF"/>
            <w:hideMark/>
          </w:tcPr>
          <w:p w:rsidR="00697DFE" w:rsidRPr="0022599E" w:rsidRDefault="00697DFE" w:rsidP="00A26F05">
            <w:pPr>
              <w:rPr>
                <w:color w:val="000000"/>
                <w:sz w:val="18"/>
                <w:szCs w:val="18"/>
              </w:rPr>
            </w:pPr>
            <w:r w:rsidRPr="0022599E">
              <w:rPr>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97DFE" w:rsidRPr="0022599E" w:rsidRDefault="00697DFE" w:rsidP="00A26F05">
            <w:pPr>
              <w:jc w:val="right"/>
              <w:rPr>
                <w:b/>
                <w:bCs/>
                <w:sz w:val="18"/>
                <w:szCs w:val="18"/>
              </w:rPr>
            </w:pPr>
            <w:r w:rsidRPr="0022599E">
              <w:rPr>
                <w:b/>
                <w:bCs/>
                <w:sz w:val="18"/>
                <w:szCs w:val="18"/>
              </w:rPr>
              <w:t>317.275,00</w:t>
            </w:r>
          </w:p>
        </w:tc>
        <w:tc>
          <w:tcPr>
            <w:tcW w:w="1306" w:type="dxa"/>
            <w:tcBorders>
              <w:top w:val="nil"/>
              <w:left w:val="nil"/>
              <w:bottom w:val="single" w:sz="4" w:space="0" w:color="auto"/>
              <w:right w:val="single" w:sz="4" w:space="0" w:color="auto"/>
            </w:tcBorders>
            <w:shd w:val="clear" w:color="auto" w:fill="auto"/>
            <w:noWrap/>
            <w:vAlign w:val="bottom"/>
            <w:hideMark/>
          </w:tcPr>
          <w:p w:rsidR="00697DFE" w:rsidRPr="0022599E" w:rsidRDefault="00697DFE" w:rsidP="00A26F05">
            <w:pPr>
              <w:jc w:val="right"/>
              <w:rPr>
                <w:b/>
                <w:bCs/>
                <w:sz w:val="18"/>
                <w:szCs w:val="18"/>
              </w:rPr>
            </w:pPr>
            <w:r w:rsidRPr="0022599E">
              <w:rPr>
                <w:b/>
                <w:bCs/>
                <w:sz w:val="18"/>
                <w:szCs w:val="18"/>
              </w:rPr>
              <w:t>124.260,00</w:t>
            </w:r>
          </w:p>
        </w:tc>
        <w:tc>
          <w:tcPr>
            <w:tcW w:w="1340" w:type="dxa"/>
            <w:tcBorders>
              <w:top w:val="nil"/>
              <w:left w:val="nil"/>
              <w:bottom w:val="single" w:sz="4" w:space="0" w:color="auto"/>
              <w:right w:val="single" w:sz="4" w:space="0" w:color="auto"/>
            </w:tcBorders>
            <w:shd w:val="clear" w:color="auto" w:fill="auto"/>
            <w:noWrap/>
            <w:vAlign w:val="bottom"/>
            <w:hideMark/>
          </w:tcPr>
          <w:p w:rsidR="00697DFE" w:rsidRPr="0022599E" w:rsidRDefault="00697DFE" w:rsidP="00A26F05">
            <w:pPr>
              <w:jc w:val="right"/>
              <w:rPr>
                <w:b/>
                <w:bCs/>
                <w:sz w:val="18"/>
                <w:szCs w:val="18"/>
              </w:rPr>
            </w:pPr>
            <w:r w:rsidRPr="0022599E">
              <w:rPr>
                <w:b/>
                <w:bCs/>
                <w:sz w:val="18"/>
                <w:szCs w:val="18"/>
              </w:rPr>
              <w:t>116.500,00</w:t>
            </w:r>
          </w:p>
        </w:tc>
      </w:tr>
      <w:tr w:rsidR="00697DFE" w:rsidRPr="0022599E" w:rsidTr="00A26F05">
        <w:trPr>
          <w:trHeight w:val="692"/>
        </w:trPr>
        <w:tc>
          <w:tcPr>
            <w:tcW w:w="21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97DFE" w:rsidRPr="0022599E" w:rsidRDefault="00697DFE" w:rsidP="00A26F05">
            <w:pPr>
              <w:jc w:val="center"/>
              <w:rPr>
                <w:b/>
                <w:bCs/>
                <w:color w:val="000000"/>
                <w:sz w:val="18"/>
                <w:szCs w:val="18"/>
              </w:rPr>
            </w:pPr>
            <w:r w:rsidRPr="0022599E">
              <w:rPr>
                <w:b/>
                <w:bCs/>
                <w:color w:val="000000"/>
                <w:sz w:val="18"/>
                <w:szCs w:val="18"/>
              </w:rPr>
              <w:t>Dipartimento di Meccanica, Matematica e Management</w:t>
            </w:r>
          </w:p>
        </w:tc>
        <w:tc>
          <w:tcPr>
            <w:tcW w:w="2546" w:type="dxa"/>
            <w:tcBorders>
              <w:top w:val="nil"/>
              <w:left w:val="nil"/>
              <w:bottom w:val="single" w:sz="4" w:space="0" w:color="auto"/>
              <w:right w:val="single" w:sz="4" w:space="0" w:color="auto"/>
            </w:tcBorders>
            <w:shd w:val="clear" w:color="000000" w:fill="FFFFFF"/>
            <w:hideMark/>
          </w:tcPr>
          <w:p w:rsidR="00697DFE" w:rsidRPr="0022599E" w:rsidRDefault="00697DFE" w:rsidP="00A26F05">
            <w:pPr>
              <w:rPr>
                <w:color w:val="000000"/>
                <w:sz w:val="18"/>
                <w:szCs w:val="18"/>
              </w:rPr>
            </w:pPr>
            <w:r w:rsidRPr="0022599E">
              <w:rPr>
                <w:color w:val="000000"/>
                <w:sz w:val="18"/>
                <w:szCs w:val="18"/>
              </w:rPr>
              <w:t>Progetti Ricerca Nazionali - Ministeriali/ Enti pubblici e privati Nazionali/PON</w:t>
            </w:r>
          </w:p>
        </w:tc>
        <w:tc>
          <w:tcPr>
            <w:tcW w:w="1440"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134.255,00</w:t>
            </w:r>
          </w:p>
        </w:tc>
        <w:tc>
          <w:tcPr>
            <w:tcW w:w="1306"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0,00</w:t>
            </w:r>
          </w:p>
        </w:tc>
        <w:tc>
          <w:tcPr>
            <w:tcW w:w="1340"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0,00</w:t>
            </w:r>
          </w:p>
        </w:tc>
      </w:tr>
      <w:tr w:rsidR="00697DFE" w:rsidRPr="0022599E" w:rsidTr="00A26F05">
        <w:trPr>
          <w:trHeight w:val="245"/>
        </w:trPr>
        <w:tc>
          <w:tcPr>
            <w:tcW w:w="2177" w:type="dxa"/>
            <w:vMerge/>
            <w:tcBorders>
              <w:top w:val="nil"/>
              <w:left w:val="single" w:sz="4" w:space="0" w:color="auto"/>
              <w:bottom w:val="single" w:sz="4" w:space="0" w:color="000000"/>
              <w:right w:val="single" w:sz="4" w:space="0" w:color="auto"/>
            </w:tcBorders>
            <w:vAlign w:val="center"/>
            <w:hideMark/>
          </w:tcPr>
          <w:p w:rsidR="00697DFE" w:rsidRPr="0022599E" w:rsidRDefault="00697DFE" w:rsidP="00A26F05">
            <w:pPr>
              <w:rPr>
                <w:b/>
                <w:bCs/>
                <w:color w:val="000000"/>
                <w:sz w:val="18"/>
                <w:szCs w:val="18"/>
              </w:rPr>
            </w:pPr>
          </w:p>
        </w:tc>
        <w:tc>
          <w:tcPr>
            <w:tcW w:w="2546" w:type="dxa"/>
            <w:tcBorders>
              <w:top w:val="nil"/>
              <w:left w:val="nil"/>
              <w:bottom w:val="single" w:sz="4" w:space="0" w:color="auto"/>
              <w:right w:val="single" w:sz="4" w:space="0" w:color="auto"/>
            </w:tcBorders>
            <w:shd w:val="clear" w:color="000000" w:fill="FFFFFF"/>
            <w:hideMark/>
          </w:tcPr>
          <w:p w:rsidR="00697DFE" w:rsidRPr="0022599E" w:rsidRDefault="00697DFE" w:rsidP="00A26F05">
            <w:pPr>
              <w:rPr>
                <w:color w:val="000000"/>
                <w:sz w:val="18"/>
                <w:szCs w:val="18"/>
              </w:rPr>
            </w:pPr>
            <w:r w:rsidRPr="0022599E">
              <w:rPr>
                <w:color w:val="000000"/>
                <w:sz w:val="18"/>
                <w:szCs w:val="18"/>
              </w:rPr>
              <w:t>Progetti Ricerca Regionali POR</w:t>
            </w:r>
          </w:p>
        </w:tc>
        <w:tc>
          <w:tcPr>
            <w:tcW w:w="1440"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227.672,00</w:t>
            </w:r>
          </w:p>
        </w:tc>
        <w:tc>
          <w:tcPr>
            <w:tcW w:w="1306"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0,00</w:t>
            </w:r>
          </w:p>
        </w:tc>
        <w:tc>
          <w:tcPr>
            <w:tcW w:w="1340"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0,00</w:t>
            </w:r>
          </w:p>
        </w:tc>
      </w:tr>
      <w:tr w:rsidR="00697DFE" w:rsidRPr="0022599E" w:rsidTr="00A26F05">
        <w:trPr>
          <w:trHeight w:val="692"/>
        </w:trPr>
        <w:tc>
          <w:tcPr>
            <w:tcW w:w="2177" w:type="dxa"/>
            <w:vMerge/>
            <w:tcBorders>
              <w:top w:val="nil"/>
              <w:left w:val="single" w:sz="4" w:space="0" w:color="auto"/>
              <w:bottom w:val="single" w:sz="4" w:space="0" w:color="000000"/>
              <w:right w:val="single" w:sz="4" w:space="0" w:color="auto"/>
            </w:tcBorders>
            <w:vAlign w:val="center"/>
            <w:hideMark/>
          </w:tcPr>
          <w:p w:rsidR="00697DFE" w:rsidRPr="0022599E" w:rsidRDefault="00697DFE" w:rsidP="00A26F05">
            <w:pPr>
              <w:rPr>
                <w:b/>
                <w:bCs/>
                <w:color w:val="000000"/>
                <w:sz w:val="18"/>
                <w:szCs w:val="18"/>
              </w:rPr>
            </w:pPr>
          </w:p>
        </w:tc>
        <w:tc>
          <w:tcPr>
            <w:tcW w:w="2546" w:type="dxa"/>
            <w:tcBorders>
              <w:top w:val="nil"/>
              <w:left w:val="nil"/>
              <w:bottom w:val="single" w:sz="4" w:space="0" w:color="auto"/>
              <w:right w:val="single" w:sz="4" w:space="0" w:color="auto"/>
            </w:tcBorders>
            <w:shd w:val="clear" w:color="000000" w:fill="FFFFFF"/>
            <w:hideMark/>
          </w:tcPr>
          <w:p w:rsidR="00697DFE" w:rsidRPr="0022599E" w:rsidRDefault="00697DFE" w:rsidP="00A26F05">
            <w:pPr>
              <w:rPr>
                <w:color w:val="000000"/>
                <w:sz w:val="18"/>
                <w:szCs w:val="18"/>
              </w:rPr>
            </w:pPr>
            <w:r w:rsidRPr="0022599E">
              <w:rPr>
                <w:color w:val="000000"/>
                <w:sz w:val="18"/>
                <w:szCs w:val="18"/>
              </w:rPr>
              <w:t>Contratti e Convenzioni Attività Commerciale/Progetti di ricerca Fondazioni</w:t>
            </w:r>
          </w:p>
        </w:tc>
        <w:tc>
          <w:tcPr>
            <w:tcW w:w="1440"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210.204,00</w:t>
            </w:r>
          </w:p>
        </w:tc>
        <w:tc>
          <w:tcPr>
            <w:tcW w:w="1306"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29.900,00</w:t>
            </w:r>
          </w:p>
        </w:tc>
        <w:tc>
          <w:tcPr>
            <w:tcW w:w="1340"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23.100,00</w:t>
            </w:r>
          </w:p>
        </w:tc>
      </w:tr>
      <w:tr w:rsidR="00697DFE" w:rsidRPr="0022599E" w:rsidTr="00A26F05">
        <w:trPr>
          <w:trHeight w:val="245"/>
        </w:trPr>
        <w:tc>
          <w:tcPr>
            <w:tcW w:w="2177" w:type="dxa"/>
            <w:tcBorders>
              <w:top w:val="nil"/>
              <w:left w:val="single" w:sz="4" w:space="0" w:color="auto"/>
              <w:bottom w:val="nil"/>
              <w:right w:val="nil"/>
            </w:tcBorders>
            <w:shd w:val="clear" w:color="auto" w:fill="auto"/>
            <w:noWrap/>
            <w:vAlign w:val="bottom"/>
            <w:hideMark/>
          </w:tcPr>
          <w:p w:rsidR="00697DFE" w:rsidRPr="0022599E" w:rsidRDefault="00697DFE" w:rsidP="00A26F05">
            <w:pPr>
              <w:rPr>
                <w:sz w:val="18"/>
                <w:szCs w:val="18"/>
              </w:rPr>
            </w:pPr>
            <w:r w:rsidRPr="0022599E">
              <w:rPr>
                <w:sz w:val="18"/>
                <w:szCs w:val="18"/>
              </w:rPr>
              <w:t> </w:t>
            </w:r>
          </w:p>
        </w:tc>
        <w:tc>
          <w:tcPr>
            <w:tcW w:w="2546" w:type="dxa"/>
            <w:tcBorders>
              <w:top w:val="nil"/>
              <w:left w:val="nil"/>
              <w:bottom w:val="nil"/>
              <w:right w:val="nil"/>
            </w:tcBorders>
            <w:shd w:val="clear" w:color="auto" w:fill="auto"/>
            <w:noWrap/>
            <w:vAlign w:val="bottom"/>
            <w:hideMark/>
          </w:tcPr>
          <w:p w:rsidR="00697DFE" w:rsidRPr="0022599E" w:rsidRDefault="00697DFE" w:rsidP="00A26F05">
            <w:pPr>
              <w:rPr>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697DFE" w:rsidRPr="0022599E" w:rsidRDefault="00697DFE" w:rsidP="00A26F05">
            <w:pPr>
              <w:jc w:val="right"/>
              <w:rPr>
                <w:b/>
                <w:bCs/>
                <w:sz w:val="18"/>
                <w:szCs w:val="18"/>
              </w:rPr>
            </w:pPr>
            <w:r w:rsidRPr="0022599E">
              <w:rPr>
                <w:b/>
                <w:bCs/>
                <w:sz w:val="18"/>
                <w:szCs w:val="18"/>
              </w:rPr>
              <w:t>572.131,00</w:t>
            </w:r>
          </w:p>
        </w:tc>
        <w:tc>
          <w:tcPr>
            <w:tcW w:w="1306" w:type="dxa"/>
            <w:tcBorders>
              <w:top w:val="nil"/>
              <w:left w:val="nil"/>
              <w:bottom w:val="single" w:sz="4" w:space="0" w:color="auto"/>
              <w:right w:val="single" w:sz="4" w:space="0" w:color="auto"/>
            </w:tcBorders>
            <w:shd w:val="clear" w:color="auto" w:fill="auto"/>
            <w:noWrap/>
            <w:vAlign w:val="bottom"/>
            <w:hideMark/>
          </w:tcPr>
          <w:p w:rsidR="00697DFE" w:rsidRPr="0022599E" w:rsidRDefault="00697DFE" w:rsidP="00A26F05">
            <w:pPr>
              <w:jc w:val="right"/>
              <w:rPr>
                <w:b/>
                <w:bCs/>
                <w:sz w:val="18"/>
                <w:szCs w:val="18"/>
              </w:rPr>
            </w:pPr>
            <w:r w:rsidRPr="0022599E">
              <w:rPr>
                <w:b/>
                <w:bCs/>
                <w:sz w:val="18"/>
                <w:szCs w:val="18"/>
              </w:rPr>
              <w:t>29.900,00</w:t>
            </w:r>
          </w:p>
        </w:tc>
        <w:tc>
          <w:tcPr>
            <w:tcW w:w="1340" w:type="dxa"/>
            <w:tcBorders>
              <w:top w:val="nil"/>
              <w:left w:val="nil"/>
              <w:bottom w:val="single" w:sz="4" w:space="0" w:color="auto"/>
              <w:right w:val="single" w:sz="4" w:space="0" w:color="auto"/>
            </w:tcBorders>
            <w:shd w:val="clear" w:color="auto" w:fill="auto"/>
            <w:noWrap/>
            <w:vAlign w:val="bottom"/>
            <w:hideMark/>
          </w:tcPr>
          <w:p w:rsidR="00697DFE" w:rsidRPr="0022599E" w:rsidRDefault="00697DFE" w:rsidP="00A26F05">
            <w:pPr>
              <w:jc w:val="right"/>
              <w:rPr>
                <w:b/>
                <w:bCs/>
                <w:sz w:val="18"/>
                <w:szCs w:val="18"/>
              </w:rPr>
            </w:pPr>
            <w:r w:rsidRPr="0022599E">
              <w:rPr>
                <w:b/>
                <w:bCs/>
                <w:sz w:val="18"/>
                <w:szCs w:val="18"/>
              </w:rPr>
              <w:t>23.100,00</w:t>
            </w:r>
          </w:p>
        </w:tc>
      </w:tr>
      <w:tr w:rsidR="00697DFE" w:rsidRPr="0022599E" w:rsidTr="00A26F05">
        <w:trPr>
          <w:trHeight w:val="980"/>
        </w:trPr>
        <w:tc>
          <w:tcPr>
            <w:tcW w:w="21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7DFE" w:rsidRPr="0022599E" w:rsidRDefault="00697DFE" w:rsidP="00A26F05">
            <w:pPr>
              <w:jc w:val="center"/>
              <w:rPr>
                <w:b/>
                <w:bCs/>
                <w:color w:val="000000"/>
                <w:sz w:val="18"/>
                <w:szCs w:val="18"/>
              </w:rPr>
            </w:pPr>
            <w:r w:rsidRPr="0022599E">
              <w:rPr>
                <w:b/>
                <w:bCs/>
                <w:color w:val="000000"/>
                <w:sz w:val="18"/>
                <w:szCs w:val="18"/>
              </w:rPr>
              <w:t>Dipartimento di Ingegneria Civile, Ambientale, del Territorio, Edile e di Chimica</w:t>
            </w:r>
          </w:p>
        </w:tc>
        <w:tc>
          <w:tcPr>
            <w:tcW w:w="2546" w:type="dxa"/>
            <w:tcBorders>
              <w:top w:val="single" w:sz="4" w:space="0" w:color="auto"/>
              <w:left w:val="nil"/>
              <w:bottom w:val="single" w:sz="4" w:space="0" w:color="auto"/>
              <w:right w:val="nil"/>
            </w:tcBorders>
            <w:shd w:val="clear" w:color="000000" w:fill="FFFFFF"/>
            <w:hideMark/>
          </w:tcPr>
          <w:p w:rsidR="00697DFE" w:rsidRPr="0022599E" w:rsidRDefault="00697DFE" w:rsidP="00A26F05">
            <w:pPr>
              <w:rPr>
                <w:color w:val="000000"/>
                <w:sz w:val="18"/>
                <w:szCs w:val="18"/>
              </w:rPr>
            </w:pPr>
            <w:r w:rsidRPr="0022599E">
              <w:rPr>
                <w:color w:val="000000"/>
                <w:sz w:val="18"/>
                <w:szCs w:val="18"/>
              </w:rPr>
              <w:t>Progetti Ricerca Nazionali - Ministeriali/ Enti pubblici e privati Nazionali/PON</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55.793,00</w:t>
            </w:r>
          </w:p>
        </w:tc>
        <w:tc>
          <w:tcPr>
            <w:tcW w:w="1306"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26.920,00</w:t>
            </w:r>
          </w:p>
        </w:tc>
        <w:tc>
          <w:tcPr>
            <w:tcW w:w="1340"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0,00</w:t>
            </w:r>
          </w:p>
        </w:tc>
      </w:tr>
      <w:tr w:rsidR="00697DFE" w:rsidRPr="0022599E" w:rsidTr="00A26F05">
        <w:trPr>
          <w:trHeight w:val="692"/>
        </w:trPr>
        <w:tc>
          <w:tcPr>
            <w:tcW w:w="2177" w:type="dxa"/>
            <w:vMerge/>
            <w:tcBorders>
              <w:top w:val="single" w:sz="4" w:space="0" w:color="auto"/>
              <w:left w:val="single" w:sz="4" w:space="0" w:color="auto"/>
              <w:bottom w:val="single" w:sz="4" w:space="0" w:color="auto"/>
              <w:right w:val="single" w:sz="4" w:space="0" w:color="auto"/>
            </w:tcBorders>
            <w:vAlign w:val="center"/>
            <w:hideMark/>
          </w:tcPr>
          <w:p w:rsidR="00697DFE" w:rsidRPr="0022599E" w:rsidRDefault="00697DFE" w:rsidP="00A26F05">
            <w:pPr>
              <w:rPr>
                <w:b/>
                <w:bCs/>
                <w:color w:val="000000"/>
                <w:sz w:val="18"/>
                <w:szCs w:val="18"/>
              </w:rPr>
            </w:pPr>
          </w:p>
        </w:tc>
        <w:tc>
          <w:tcPr>
            <w:tcW w:w="2546" w:type="dxa"/>
            <w:tcBorders>
              <w:top w:val="nil"/>
              <w:left w:val="nil"/>
              <w:bottom w:val="single" w:sz="4" w:space="0" w:color="auto"/>
              <w:right w:val="nil"/>
            </w:tcBorders>
            <w:shd w:val="clear" w:color="000000" w:fill="FFFFFF"/>
            <w:hideMark/>
          </w:tcPr>
          <w:p w:rsidR="00697DFE" w:rsidRPr="0022599E" w:rsidRDefault="00697DFE" w:rsidP="00A26F05">
            <w:pPr>
              <w:rPr>
                <w:color w:val="000000"/>
                <w:sz w:val="18"/>
                <w:szCs w:val="18"/>
              </w:rPr>
            </w:pPr>
            <w:r w:rsidRPr="0022599E">
              <w:rPr>
                <w:color w:val="000000"/>
                <w:sz w:val="18"/>
                <w:szCs w:val="18"/>
              </w:rPr>
              <w:t>Fondi per la Didattica/Orientamento/Scuola specializzazione</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77.146,00</w:t>
            </w:r>
          </w:p>
        </w:tc>
        <w:tc>
          <w:tcPr>
            <w:tcW w:w="1306"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0,00</w:t>
            </w:r>
          </w:p>
        </w:tc>
        <w:tc>
          <w:tcPr>
            <w:tcW w:w="1340"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0,00</w:t>
            </w:r>
          </w:p>
        </w:tc>
      </w:tr>
      <w:tr w:rsidR="00697DFE" w:rsidRPr="0022599E" w:rsidTr="00A26F05">
        <w:trPr>
          <w:trHeight w:val="461"/>
        </w:trPr>
        <w:tc>
          <w:tcPr>
            <w:tcW w:w="2177" w:type="dxa"/>
            <w:vMerge/>
            <w:tcBorders>
              <w:top w:val="single" w:sz="4" w:space="0" w:color="auto"/>
              <w:left w:val="single" w:sz="4" w:space="0" w:color="auto"/>
              <w:bottom w:val="single" w:sz="4" w:space="0" w:color="auto"/>
              <w:right w:val="single" w:sz="4" w:space="0" w:color="auto"/>
            </w:tcBorders>
            <w:vAlign w:val="center"/>
            <w:hideMark/>
          </w:tcPr>
          <w:p w:rsidR="00697DFE" w:rsidRPr="0022599E" w:rsidRDefault="00697DFE" w:rsidP="00A26F05">
            <w:pPr>
              <w:rPr>
                <w:b/>
                <w:bCs/>
                <w:color w:val="000000"/>
                <w:sz w:val="18"/>
                <w:szCs w:val="18"/>
              </w:rPr>
            </w:pPr>
          </w:p>
        </w:tc>
        <w:tc>
          <w:tcPr>
            <w:tcW w:w="2546" w:type="dxa"/>
            <w:tcBorders>
              <w:top w:val="nil"/>
              <w:left w:val="nil"/>
              <w:bottom w:val="single" w:sz="4" w:space="0" w:color="auto"/>
              <w:right w:val="nil"/>
            </w:tcBorders>
            <w:shd w:val="clear" w:color="000000" w:fill="FFFFFF"/>
            <w:hideMark/>
          </w:tcPr>
          <w:p w:rsidR="00697DFE" w:rsidRPr="0022599E" w:rsidRDefault="00697DFE" w:rsidP="00A26F05">
            <w:pPr>
              <w:rPr>
                <w:color w:val="000000"/>
                <w:sz w:val="18"/>
                <w:szCs w:val="18"/>
              </w:rPr>
            </w:pPr>
            <w:r w:rsidRPr="0022599E">
              <w:rPr>
                <w:color w:val="000000"/>
                <w:sz w:val="18"/>
                <w:szCs w:val="18"/>
              </w:rPr>
              <w:t>Progetti Edilizia Nazionali - Ministeriali</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23.302,00</w:t>
            </w:r>
          </w:p>
        </w:tc>
        <w:tc>
          <w:tcPr>
            <w:tcW w:w="1306"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0,00</w:t>
            </w:r>
          </w:p>
        </w:tc>
        <w:tc>
          <w:tcPr>
            <w:tcW w:w="1340"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0,00</w:t>
            </w:r>
          </w:p>
        </w:tc>
      </w:tr>
      <w:tr w:rsidR="00697DFE" w:rsidRPr="0022599E" w:rsidTr="00A26F05">
        <w:trPr>
          <w:trHeight w:val="245"/>
        </w:trPr>
        <w:tc>
          <w:tcPr>
            <w:tcW w:w="2177" w:type="dxa"/>
            <w:vMerge/>
            <w:tcBorders>
              <w:top w:val="single" w:sz="4" w:space="0" w:color="auto"/>
              <w:left w:val="single" w:sz="4" w:space="0" w:color="auto"/>
              <w:bottom w:val="single" w:sz="4" w:space="0" w:color="auto"/>
              <w:right w:val="single" w:sz="4" w:space="0" w:color="auto"/>
            </w:tcBorders>
            <w:vAlign w:val="center"/>
            <w:hideMark/>
          </w:tcPr>
          <w:p w:rsidR="00697DFE" w:rsidRPr="0022599E" w:rsidRDefault="00697DFE" w:rsidP="00A26F05">
            <w:pPr>
              <w:rPr>
                <w:b/>
                <w:bCs/>
                <w:color w:val="000000"/>
                <w:sz w:val="18"/>
                <w:szCs w:val="18"/>
              </w:rPr>
            </w:pPr>
          </w:p>
        </w:tc>
        <w:tc>
          <w:tcPr>
            <w:tcW w:w="2546" w:type="dxa"/>
            <w:tcBorders>
              <w:top w:val="nil"/>
              <w:left w:val="nil"/>
              <w:bottom w:val="nil"/>
              <w:right w:val="nil"/>
            </w:tcBorders>
            <w:shd w:val="clear" w:color="000000" w:fill="FFFFFF"/>
            <w:hideMark/>
          </w:tcPr>
          <w:p w:rsidR="00697DFE" w:rsidRPr="0022599E" w:rsidRDefault="00697DFE" w:rsidP="00A26F05">
            <w:pPr>
              <w:rPr>
                <w:color w:val="000000"/>
                <w:sz w:val="18"/>
                <w:szCs w:val="18"/>
              </w:rPr>
            </w:pPr>
            <w:r w:rsidRPr="0022599E">
              <w:rPr>
                <w:color w:val="000000"/>
                <w:sz w:val="18"/>
                <w:szCs w:val="18"/>
              </w:rPr>
              <w:t>Progetti di Ricerca Enti locali</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84.073,00</w:t>
            </w:r>
          </w:p>
        </w:tc>
        <w:tc>
          <w:tcPr>
            <w:tcW w:w="1306"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84.438,00</w:t>
            </w:r>
          </w:p>
        </w:tc>
        <w:tc>
          <w:tcPr>
            <w:tcW w:w="1340"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0,00</w:t>
            </w:r>
          </w:p>
        </w:tc>
      </w:tr>
      <w:tr w:rsidR="00697DFE" w:rsidRPr="0022599E" w:rsidTr="00A26F05">
        <w:trPr>
          <w:trHeight w:val="692"/>
        </w:trPr>
        <w:tc>
          <w:tcPr>
            <w:tcW w:w="2177" w:type="dxa"/>
            <w:vMerge/>
            <w:tcBorders>
              <w:top w:val="single" w:sz="4" w:space="0" w:color="auto"/>
              <w:left w:val="single" w:sz="4" w:space="0" w:color="auto"/>
              <w:bottom w:val="single" w:sz="4" w:space="0" w:color="auto"/>
              <w:right w:val="single" w:sz="4" w:space="0" w:color="auto"/>
            </w:tcBorders>
            <w:vAlign w:val="center"/>
            <w:hideMark/>
          </w:tcPr>
          <w:p w:rsidR="00697DFE" w:rsidRPr="0022599E" w:rsidRDefault="00697DFE" w:rsidP="00A26F05">
            <w:pPr>
              <w:rPr>
                <w:b/>
                <w:bCs/>
                <w:color w:val="000000"/>
                <w:sz w:val="18"/>
                <w:szCs w:val="18"/>
              </w:rPr>
            </w:pPr>
          </w:p>
        </w:tc>
        <w:tc>
          <w:tcPr>
            <w:tcW w:w="2546" w:type="dxa"/>
            <w:tcBorders>
              <w:top w:val="single" w:sz="4" w:space="0" w:color="auto"/>
              <w:left w:val="nil"/>
              <w:bottom w:val="single" w:sz="4" w:space="0" w:color="auto"/>
              <w:right w:val="nil"/>
            </w:tcBorders>
            <w:shd w:val="clear" w:color="000000" w:fill="FFFFFF"/>
            <w:hideMark/>
          </w:tcPr>
          <w:p w:rsidR="00697DFE" w:rsidRPr="0022599E" w:rsidRDefault="00697DFE" w:rsidP="00A26F05">
            <w:pPr>
              <w:rPr>
                <w:color w:val="000000"/>
                <w:sz w:val="18"/>
                <w:szCs w:val="18"/>
              </w:rPr>
            </w:pPr>
            <w:r w:rsidRPr="0022599E">
              <w:rPr>
                <w:color w:val="000000"/>
                <w:sz w:val="18"/>
                <w:szCs w:val="18"/>
              </w:rPr>
              <w:t>Contratti e Convenzioni Attività Commerciale/Progetti di ricerca Fondazioni</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73.407,00</w:t>
            </w:r>
          </w:p>
        </w:tc>
        <w:tc>
          <w:tcPr>
            <w:tcW w:w="1306"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9.375,00</w:t>
            </w:r>
          </w:p>
        </w:tc>
        <w:tc>
          <w:tcPr>
            <w:tcW w:w="1340"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0,00</w:t>
            </w:r>
          </w:p>
        </w:tc>
      </w:tr>
      <w:tr w:rsidR="00697DFE" w:rsidRPr="0022599E" w:rsidTr="00A26F05">
        <w:trPr>
          <w:trHeight w:val="245"/>
        </w:trPr>
        <w:tc>
          <w:tcPr>
            <w:tcW w:w="2177" w:type="dxa"/>
            <w:tcBorders>
              <w:top w:val="nil"/>
              <w:left w:val="single" w:sz="4" w:space="0" w:color="auto"/>
              <w:bottom w:val="single" w:sz="4" w:space="0" w:color="auto"/>
              <w:right w:val="nil"/>
            </w:tcBorders>
            <w:shd w:val="clear" w:color="auto" w:fill="auto"/>
            <w:noWrap/>
            <w:vAlign w:val="bottom"/>
            <w:hideMark/>
          </w:tcPr>
          <w:p w:rsidR="00697DFE" w:rsidRPr="0022599E" w:rsidRDefault="00697DFE" w:rsidP="00A26F05">
            <w:pPr>
              <w:rPr>
                <w:sz w:val="18"/>
                <w:szCs w:val="18"/>
              </w:rPr>
            </w:pPr>
            <w:r w:rsidRPr="0022599E">
              <w:rPr>
                <w:sz w:val="18"/>
                <w:szCs w:val="18"/>
              </w:rPr>
              <w:t> </w:t>
            </w:r>
          </w:p>
        </w:tc>
        <w:tc>
          <w:tcPr>
            <w:tcW w:w="2546" w:type="dxa"/>
            <w:tcBorders>
              <w:top w:val="nil"/>
              <w:left w:val="nil"/>
              <w:bottom w:val="single" w:sz="4" w:space="0" w:color="auto"/>
              <w:right w:val="nil"/>
            </w:tcBorders>
            <w:shd w:val="clear" w:color="auto" w:fill="auto"/>
            <w:noWrap/>
            <w:vAlign w:val="bottom"/>
            <w:hideMark/>
          </w:tcPr>
          <w:p w:rsidR="00697DFE" w:rsidRPr="0022599E" w:rsidRDefault="00697DFE" w:rsidP="00A26F05">
            <w:pPr>
              <w:rPr>
                <w:sz w:val="18"/>
                <w:szCs w:val="18"/>
              </w:rPr>
            </w:pPr>
            <w:r w:rsidRPr="0022599E">
              <w:rPr>
                <w:sz w:val="18"/>
                <w:szCs w:val="18"/>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697DFE" w:rsidRPr="0022599E" w:rsidRDefault="00697DFE" w:rsidP="00A26F05">
            <w:pPr>
              <w:jc w:val="right"/>
              <w:rPr>
                <w:b/>
                <w:bCs/>
                <w:sz w:val="18"/>
                <w:szCs w:val="18"/>
              </w:rPr>
            </w:pPr>
            <w:r w:rsidRPr="0022599E">
              <w:rPr>
                <w:b/>
                <w:bCs/>
                <w:sz w:val="18"/>
                <w:szCs w:val="18"/>
              </w:rPr>
              <w:t>313.721,00</w:t>
            </w:r>
          </w:p>
        </w:tc>
        <w:tc>
          <w:tcPr>
            <w:tcW w:w="1306" w:type="dxa"/>
            <w:tcBorders>
              <w:top w:val="nil"/>
              <w:left w:val="nil"/>
              <w:bottom w:val="single" w:sz="4" w:space="0" w:color="auto"/>
              <w:right w:val="single" w:sz="4" w:space="0" w:color="auto"/>
            </w:tcBorders>
            <w:shd w:val="clear" w:color="auto" w:fill="auto"/>
            <w:noWrap/>
            <w:vAlign w:val="bottom"/>
            <w:hideMark/>
          </w:tcPr>
          <w:p w:rsidR="00697DFE" w:rsidRPr="0022599E" w:rsidRDefault="00697DFE" w:rsidP="00A26F05">
            <w:pPr>
              <w:jc w:val="right"/>
              <w:rPr>
                <w:b/>
                <w:bCs/>
                <w:sz w:val="18"/>
                <w:szCs w:val="18"/>
              </w:rPr>
            </w:pPr>
            <w:r w:rsidRPr="0022599E">
              <w:rPr>
                <w:b/>
                <w:bCs/>
                <w:sz w:val="18"/>
                <w:szCs w:val="18"/>
              </w:rPr>
              <w:t>120.733,00</w:t>
            </w:r>
          </w:p>
        </w:tc>
        <w:tc>
          <w:tcPr>
            <w:tcW w:w="1340" w:type="dxa"/>
            <w:tcBorders>
              <w:top w:val="nil"/>
              <w:left w:val="nil"/>
              <w:bottom w:val="single" w:sz="4" w:space="0" w:color="auto"/>
              <w:right w:val="single" w:sz="4" w:space="0" w:color="auto"/>
            </w:tcBorders>
            <w:shd w:val="clear" w:color="auto" w:fill="auto"/>
            <w:noWrap/>
            <w:vAlign w:val="bottom"/>
            <w:hideMark/>
          </w:tcPr>
          <w:p w:rsidR="00697DFE" w:rsidRPr="0022599E" w:rsidRDefault="00697DFE" w:rsidP="00A26F05">
            <w:pPr>
              <w:jc w:val="right"/>
              <w:rPr>
                <w:b/>
                <w:bCs/>
                <w:sz w:val="18"/>
                <w:szCs w:val="18"/>
              </w:rPr>
            </w:pPr>
            <w:r w:rsidRPr="0022599E">
              <w:rPr>
                <w:b/>
                <w:bCs/>
                <w:sz w:val="18"/>
                <w:szCs w:val="18"/>
              </w:rPr>
              <w:t>0,00</w:t>
            </w:r>
          </w:p>
        </w:tc>
      </w:tr>
      <w:tr w:rsidR="00697DFE" w:rsidRPr="0022599E" w:rsidTr="00A26F05">
        <w:trPr>
          <w:trHeight w:val="245"/>
        </w:trPr>
        <w:tc>
          <w:tcPr>
            <w:tcW w:w="2177" w:type="dxa"/>
            <w:tcBorders>
              <w:top w:val="nil"/>
              <w:left w:val="single" w:sz="4" w:space="0" w:color="auto"/>
              <w:right w:val="single" w:sz="4" w:space="0" w:color="auto"/>
            </w:tcBorders>
            <w:shd w:val="clear" w:color="000000" w:fill="FFFFFF"/>
            <w:vAlign w:val="center"/>
          </w:tcPr>
          <w:p w:rsidR="00697DFE" w:rsidRPr="0022599E" w:rsidRDefault="00697DFE" w:rsidP="00A26F05">
            <w:pPr>
              <w:jc w:val="center"/>
              <w:rPr>
                <w:b/>
                <w:bCs/>
                <w:color w:val="000000"/>
                <w:sz w:val="18"/>
                <w:szCs w:val="18"/>
              </w:rPr>
            </w:pPr>
          </w:p>
        </w:tc>
        <w:tc>
          <w:tcPr>
            <w:tcW w:w="2546" w:type="dxa"/>
            <w:tcBorders>
              <w:top w:val="nil"/>
              <w:left w:val="nil"/>
              <w:right w:val="nil"/>
            </w:tcBorders>
            <w:shd w:val="clear" w:color="000000" w:fill="FFFFFF"/>
          </w:tcPr>
          <w:p w:rsidR="00697DFE" w:rsidRPr="0022599E" w:rsidRDefault="00697DFE" w:rsidP="00A26F05">
            <w:pPr>
              <w:rPr>
                <w:color w:val="000000"/>
                <w:sz w:val="18"/>
                <w:szCs w:val="18"/>
              </w:rPr>
            </w:pPr>
          </w:p>
        </w:tc>
        <w:tc>
          <w:tcPr>
            <w:tcW w:w="1440" w:type="dxa"/>
            <w:tcBorders>
              <w:top w:val="nil"/>
              <w:left w:val="single" w:sz="4" w:space="0" w:color="auto"/>
              <w:right w:val="single" w:sz="4" w:space="0" w:color="auto"/>
            </w:tcBorders>
            <w:shd w:val="clear" w:color="000000" w:fill="FFFFFF"/>
            <w:vAlign w:val="center"/>
          </w:tcPr>
          <w:p w:rsidR="00697DFE" w:rsidRPr="0022599E" w:rsidRDefault="00697DFE" w:rsidP="00A26F05">
            <w:pPr>
              <w:jc w:val="right"/>
              <w:rPr>
                <w:color w:val="000000"/>
                <w:sz w:val="18"/>
                <w:szCs w:val="18"/>
              </w:rPr>
            </w:pPr>
          </w:p>
        </w:tc>
        <w:tc>
          <w:tcPr>
            <w:tcW w:w="1306" w:type="dxa"/>
            <w:tcBorders>
              <w:top w:val="nil"/>
              <w:left w:val="nil"/>
              <w:right w:val="single" w:sz="4" w:space="0" w:color="auto"/>
            </w:tcBorders>
            <w:shd w:val="clear" w:color="000000" w:fill="FFFFFF"/>
            <w:vAlign w:val="center"/>
          </w:tcPr>
          <w:p w:rsidR="00697DFE" w:rsidRPr="0022599E" w:rsidRDefault="00697DFE" w:rsidP="00A26F05">
            <w:pPr>
              <w:jc w:val="right"/>
              <w:rPr>
                <w:color w:val="000000"/>
                <w:sz w:val="18"/>
                <w:szCs w:val="18"/>
              </w:rPr>
            </w:pPr>
          </w:p>
        </w:tc>
        <w:tc>
          <w:tcPr>
            <w:tcW w:w="1340" w:type="dxa"/>
            <w:tcBorders>
              <w:top w:val="nil"/>
              <w:left w:val="nil"/>
              <w:right w:val="single" w:sz="4" w:space="0" w:color="auto"/>
            </w:tcBorders>
            <w:shd w:val="clear" w:color="000000" w:fill="FFFFFF"/>
            <w:vAlign w:val="center"/>
          </w:tcPr>
          <w:p w:rsidR="00697DFE" w:rsidRPr="0022599E" w:rsidRDefault="00697DFE" w:rsidP="00A26F05">
            <w:pPr>
              <w:jc w:val="right"/>
              <w:rPr>
                <w:color w:val="000000"/>
                <w:sz w:val="18"/>
                <w:szCs w:val="18"/>
              </w:rPr>
            </w:pPr>
          </w:p>
        </w:tc>
      </w:tr>
      <w:tr w:rsidR="00697DFE" w:rsidRPr="0022599E" w:rsidTr="00A26F05">
        <w:trPr>
          <w:trHeight w:val="245"/>
        </w:trPr>
        <w:tc>
          <w:tcPr>
            <w:tcW w:w="2177" w:type="dxa"/>
            <w:tcBorders>
              <w:top w:val="nil"/>
              <w:left w:val="single" w:sz="4" w:space="0" w:color="auto"/>
              <w:right w:val="single" w:sz="4" w:space="0" w:color="auto"/>
            </w:tcBorders>
            <w:shd w:val="clear" w:color="000000" w:fill="FFFFFF"/>
            <w:vAlign w:val="center"/>
          </w:tcPr>
          <w:p w:rsidR="00697DFE" w:rsidRPr="0022599E" w:rsidRDefault="00697DFE" w:rsidP="00A26F05">
            <w:pPr>
              <w:jc w:val="center"/>
              <w:rPr>
                <w:b/>
                <w:bCs/>
                <w:color w:val="000000"/>
                <w:sz w:val="18"/>
                <w:szCs w:val="18"/>
              </w:rPr>
            </w:pPr>
          </w:p>
        </w:tc>
        <w:tc>
          <w:tcPr>
            <w:tcW w:w="2546" w:type="dxa"/>
            <w:tcBorders>
              <w:top w:val="nil"/>
              <w:left w:val="nil"/>
              <w:right w:val="nil"/>
            </w:tcBorders>
            <w:shd w:val="clear" w:color="000000" w:fill="FFFFFF"/>
          </w:tcPr>
          <w:p w:rsidR="00697DFE" w:rsidRPr="0022599E" w:rsidRDefault="00697DFE" w:rsidP="00A26F05">
            <w:pPr>
              <w:rPr>
                <w:color w:val="000000"/>
                <w:sz w:val="18"/>
                <w:szCs w:val="18"/>
              </w:rPr>
            </w:pPr>
          </w:p>
        </w:tc>
        <w:tc>
          <w:tcPr>
            <w:tcW w:w="1440" w:type="dxa"/>
            <w:tcBorders>
              <w:top w:val="nil"/>
              <w:left w:val="single" w:sz="4" w:space="0" w:color="auto"/>
              <w:right w:val="single" w:sz="4" w:space="0" w:color="auto"/>
            </w:tcBorders>
            <w:shd w:val="clear" w:color="000000" w:fill="FFFFFF"/>
            <w:vAlign w:val="center"/>
          </w:tcPr>
          <w:p w:rsidR="00697DFE" w:rsidRPr="0022599E" w:rsidRDefault="00697DFE" w:rsidP="00A26F05">
            <w:pPr>
              <w:jc w:val="right"/>
              <w:rPr>
                <w:color w:val="000000"/>
                <w:sz w:val="18"/>
                <w:szCs w:val="18"/>
              </w:rPr>
            </w:pPr>
          </w:p>
        </w:tc>
        <w:tc>
          <w:tcPr>
            <w:tcW w:w="1306" w:type="dxa"/>
            <w:tcBorders>
              <w:top w:val="nil"/>
              <w:left w:val="nil"/>
              <w:right w:val="single" w:sz="4" w:space="0" w:color="auto"/>
            </w:tcBorders>
            <w:shd w:val="clear" w:color="000000" w:fill="FFFFFF"/>
            <w:vAlign w:val="center"/>
          </w:tcPr>
          <w:p w:rsidR="00697DFE" w:rsidRPr="0022599E" w:rsidRDefault="00697DFE" w:rsidP="00A26F05">
            <w:pPr>
              <w:jc w:val="right"/>
              <w:rPr>
                <w:color w:val="000000"/>
                <w:sz w:val="18"/>
                <w:szCs w:val="18"/>
              </w:rPr>
            </w:pPr>
          </w:p>
        </w:tc>
        <w:tc>
          <w:tcPr>
            <w:tcW w:w="1340" w:type="dxa"/>
            <w:tcBorders>
              <w:top w:val="nil"/>
              <w:left w:val="nil"/>
              <w:right w:val="single" w:sz="4" w:space="0" w:color="auto"/>
            </w:tcBorders>
            <w:shd w:val="clear" w:color="000000" w:fill="FFFFFF"/>
            <w:vAlign w:val="center"/>
          </w:tcPr>
          <w:p w:rsidR="00697DFE" w:rsidRPr="0022599E" w:rsidRDefault="00697DFE" w:rsidP="00A26F05">
            <w:pPr>
              <w:jc w:val="right"/>
              <w:rPr>
                <w:color w:val="000000"/>
                <w:sz w:val="18"/>
                <w:szCs w:val="18"/>
              </w:rPr>
            </w:pPr>
          </w:p>
        </w:tc>
      </w:tr>
      <w:tr w:rsidR="00697DFE" w:rsidRPr="0022599E" w:rsidTr="00A26F05">
        <w:trPr>
          <w:trHeight w:val="245"/>
        </w:trPr>
        <w:tc>
          <w:tcPr>
            <w:tcW w:w="2177" w:type="dxa"/>
            <w:tcBorders>
              <w:top w:val="nil"/>
              <w:left w:val="single" w:sz="4" w:space="0" w:color="auto"/>
              <w:bottom w:val="single" w:sz="4" w:space="0" w:color="auto"/>
              <w:right w:val="single" w:sz="4" w:space="0" w:color="auto"/>
            </w:tcBorders>
            <w:shd w:val="clear" w:color="000000" w:fill="FFFFFF"/>
            <w:vAlign w:val="center"/>
          </w:tcPr>
          <w:p w:rsidR="00697DFE" w:rsidRPr="0022599E" w:rsidRDefault="00697DFE" w:rsidP="00A26F05">
            <w:pPr>
              <w:jc w:val="center"/>
              <w:rPr>
                <w:b/>
                <w:bCs/>
                <w:color w:val="000000"/>
                <w:sz w:val="18"/>
                <w:szCs w:val="18"/>
              </w:rPr>
            </w:pPr>
          </w:p>
        </w:tc>
        <w:tc>
          <w:tcPr>
            <w:tcW w:w="2546" w:type="dxa"/>
            <w:tcBorders>
              <w:top w:val="nil"/>
              <w:left w:val="nil"/>
              <w:bottom w:val="single" w:sz="4" w:space="0" w:color="auto"/>
              <w:right w:val="nil"/>
            </w:tcBorders>
            <w:shd w:val="clear" w:color="000000" w:fill="FFFFFF"/>
          </w:tcPr>
          <w:p w:rsidR="00697DFE" w:rsidRPr="0022599E" w:rsidRDefault="00697DFE" w:rsidP="00A26F05">
            <w:pPr>
              <w:rPr>
                <w:color w:val="000000"/>
                <w:sz w:val="18"/>
                <w:szCs w:val="18"/>
              </w:rPr>
            </w:pPr>
          </w:p>
        </w:tc>
        <w:tc>
          <w:tcPr>
            <w:tcW w:w="1440" w:type="dxa"/>
            <w:tcBorders>
              <w:top w:val="nil"/>
              <w:left w:val="single" w:sz="4" w:space="0" w:color="auto"/>
              <w:bottom w:val="single" w:sz="4" w:space="0" w:color="auto"/>
              <w:right w:val="single" w:sz="4" w:space="0" w:color="auto"/>
            </w:tcBorders>
            <w:shd w:val="clear" w:color="000000" w:fill="FFFFFF"/>
            <w:vAlign w:val="center"/>
          </w:tcPr>
          <w:p w:rsidR="00697DFE" w:rsidRPr="0022599E" w:rsidRDefault="00697DFE" w:rsidP="00A26F05">
            <w:pPr>
              <w:jc w:val="right"/>
              <w:rPr>
                <w:color w:val="000000"/>
                <w:sz w:val="18"/>
                <w:szCs w:val="18"/>
              </w:rPr>
            </w:pPr>
          </w:p>
        </w:tc>
        <w:tc>
          <w:tcPr>
            <w:tcW w:w="1306" w:type="dxa"/>
            <w:tcBorders>
              <w:top w:val="nil"/>
              <w:left w:val="nil"/>
              <w:bottom w:val="single" w:sz="4" w:space="0" w:color="auto"/>
              <w:right w:val="single" w:sz="4" w:space="0" w:color="auto"/>
            </w:tcBorders>
            <w:shd w:val="clear" w:color="000000" w:fill="FFFFFF"/>
            <w:vAlign w:val="center"/>
          </w:tcPr>
          <w:p w:rsidR="00697DFE" w:rsidRPr="0022599E" w:rsidRDefault="00697DFE" w:rsidP="00A26F05">
            <w:pPr>
              <w:jc w:val="right"/>
              <w:rPr>
                <w:color w:val="000000"/>
                <w:sz w:val="18"/>
                <w:szCs w:val="18"/>
              </w:rPr>
            </w:pPr>
          </w:p>
        </w:tc>
        <w:tc>
          <w:tcPr>
            <w:tcW w:w="1340" w:type="dxa"/>
            <w:tcBorders>
              <w:top w:val="nil"/>
              <w:left w:val="nil"/>
              <w:bottom w:val="single" w:sz="4" w:space="0" w:color="auto"/>
              <w:right w:val="single" w:sz="4" w:space="0" w:color="auto"/>
            </w:tcBorders>
            <w:shd w:val="clear" w:color="000000" w:fill="FFFFFF"/>
            <w:vAlign w:val="center"/>
          </w:tcPr>
          <w:p w:rsidR="00697DFE" w:rsidRPr="0022599E" w:rsidRDefault="00697DFE" w:rsidP="00A26F05">
            <w:pPr>
              <w:jc w:val="right"/>
              <w:rPr>
                <w:color w:val="000000"/>
                <w:sz w:val="18"/>
                <w:szCs w:val="18"/>
              </w:rPr>
            </w:pPr>
          </w:p>
        </w:tc>
      </w:tr>
      <w:tr w:rsidR="00697DFE" w:rsidRPr="0022599E" w:rsidTr="00A26F05">
        <w:trPr>
          <w:trHeight w:val="245"/>
        </w:trPr>
        <w:tc>
          <w:tcPr>
            <w:tcW w:w="21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7DFE" w:rsidRPr="0022599E" w:rsidRDefault="00697DFE" w:rsidP="00A26F05">
            <w:pPr>
              <w:jc w:val="center"/>
              <w:rPr>
                <w:b/>
                <w:bCs/>
                <w:color w:val="000000"/>
                <w:sz w:val="18"/>
                <w:szCs w:val="18"/>
              </w:rPr>
            </w:pPr>
            <w:r w:rsidRPr="0022599E">
              <w:rPr>
                <w:b/>
                <w:bCs/>
                <w:color w:val="000000"/>
                <w:sz w:val="18"/>
                <w:szCs w:val="18"/>
              </w:rPr>
              <w:t>Amministrazione Centrale</w:t>
            </w:r>
          </w:p>
        </w:tc>
        <w:tc>
          <w:tcPr>
            <w:tcW w:w="2546" w:type="dxa"/>
            <w:tcBorders>
              <w:top w:val="single" w:sz="4" w:space="0" w:color="auto"/>
              <w:left w:val="nil"/>
              <w:bottom w:val="single" w:sz="4" w:space="0" w:color="auto"/>
              <w:right w:val="nil"/>
            </w:tcBorders>
            <w:shd w:val="clear" w:color="000000" w:fill="FFFFFF"/>
            <w:hideMark/>
          </w:tcPr>
          <w:p w:rsidR="00697DFE" w:rsidRPr="0022599E" w:rsidRDefault="00697DFE" w:rsidP="00A26F05">
            <w:pPr>
              <w:rPr>
                <w:color w:val="000000"/>
                <w:sz w:val="18"/>
                <w:szCs w:val="18"/>
              </w:rPr>
            </w:pPr>
            <w:r w:rsidRPr="0022599E">
              <w:rPr>
                <w:color w:val="000000"/>
                <w:sz w:val="18"/>
                <w:szCs w:val="18"/>
              </w:rPr>
              <w:t xml:space="preserve">Servizi agli studenti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41.682,00</w:t>
            </w:r>
          </w:p>
        </w:tc>
        <w:tc>
          <w:tcPr>
            <w:tcW w:w="1306" w:type="dxa"/>
            <w:tcBorders>
              <w:top w:val="single" w:sz="4" w:space="0" w:color="auto"/>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35.000,00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35.000,00</w:t>
            </w:r>
          </w:p>
        </w:tc>
      </w:tr>
      <w:tr w:rsidR="00697DFE" w:rsidRPr="0022599E" w:rsidTr="00A26F05">
        <w:trPr>
          <w:trHeight w:val="245"/>
        </w:trPr>
        <w:tc>
          <w:tcPr>
            <w:tcW w:w="217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97DFE" w:rsidRPr="0022599E" w:rsidRDefault="00697DFE" w:rsidP="00A26F05">
            <w:pPr>
              <w:jc w:val="center"/>
              <w:rPr>
                <w:b/>
                <w:bCs/>
                <w:color w:val="000000"/>
                <w:sz w:val="18"/>
                <w:szCs w:val="18"/>
              </w:rPr>
            </w:pPr>
          </w:p>
        </w:tc>
        <w:tc>
          <w:tcPr>
            <w:tcW w:w="2546" w:type="dxa"/>
            <w:tcBorders>
              <w:top w:val="single" w:sz="4" w:space="0" w:color="auto"/>
              <w:left w:val="nil"/>
              <w:bottom w:val="single" w:sz="4" w:space="0" w:color="auto"/>
              <w:right w:val="nil"/>
            </w:tcBorders>
            <w:shd w:val="clear" w:color="000000" w:fill="FFFFFF"/>
          </w:tcPr>
          <w:p w:rsidR="00697DFE" w:rsidRPr="0022599E" w:rsidRDefault="00697DFE" w:rsidP="00A26F05">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rsidR="00697DFE" w:rsidRPr="0022599E" w:rsidRDefault="00697DFE" w:rsidP="00A26F05">
            <w:pPr>
              <w:jc w:val="right"/>
              <w:rPr>
                <w:color w:val="000000"/>
                <w:sz w:val="18"/>
                <w:szCs w:val="18"/>
              </w:rPr>
            </w:pPr>
          </w:p>
        </w:tc>
        <w:tc>
          <w:tcPr>
            <w:tcW w:w="1306" w:type="dxa"/>
            <w:tcBorders>
              <w:top w:val="single" w:sz="4" w:space="0" w:color="auto"/>
              <w:left w:val="nil"/>
              <w:bottom w:val="single" w:sz="4" w:space="0" w:color="auto"/>
              <w:right w:val="single" w:sz="4" w:space="0" w:color="auto"/>
            </w:tcBorders>
            <w:shd w:val="clear" w:color="000000" w:fill="FFFFFF"/>
            <w:vAlign w:val="center"/>
          </w:tcPr>
          <w:p w:rsidR="00697DFE" w:rsidRPr="0022599E" w:rsidRDefault="00697DFE" w:rsidP="00A26F05">
            <w:pPr>
              <w:jc w:val="right"/>
              <w:rPr>
                <w:color w:val="000000"/>
                <w:sz w:val="18"/>
                <w:szCs w:val="18"/>
              </w:rPr>
            </w:pPr>
          </w:p>
        </w:tc>
        <w:tc>
          <w:tcPr>
            <w:tcW w:w="1340" w:type="dxa"/>
            <w:tcBorders>
              <w:top w:val="single" w:sz="4" w:space="0" w:color="auto"/>
              <w:left w:val="nil"/>
              <w:bottom w:val="single" w:sz="4" w:space="0" w:color="auto"/>
              <w:right w:val="single" w:sz="4" w:space="0" w:color="auto"/>
            </w:tcBorders>
            <w:shd w:val="clear" w:color="000000" w:fill="FFFFFF"/>
            <w:vAlign w:val="center"/>
          </w:tcPr>
          <w:p w:rsidR="00697DFE" w:rsidRPr="0022599E" w:rsidRDefault="00697DFE" w:rsidP="00A26F05">
            <w:pPr>
              <w:jc w:val="right"/>
              <w:rPr>
                <w:color w:val="000000"/>
                <w:sz w:val="18"/>
                <w:szCs w:val="18"/>
              </w:rPr>
            </w:pPr>
          </w:p>
        </w:tc>
      </w:tr>
      <w:tr w:rsidR="00697DFE" w:rsidRPr="0022599E" w:rsidTr="00A26F05">
        <w:trPr>
          <w:trHeight w:val="692"/>
        </w:trPr>
        <w:tc>
          <w:tcPr>
            <w:tcW w:w="2177" w:type="dxa"/>
            <w:vMerge/>
            <w:tcBorders>
              <w:top w:val="single" w:sz="4" w:space="0" w:color="auto"/>
              <w:left w:val="single" w:sz="4" w:space="0" w:color="auto"/>
              <w:bottom w:val="single" w:sz="4" w:space="0" w:color="auto"/>
              <w:right w:val="single" w:sz="4" w:space="0" w:color="auto"/>
            </w:tcBorders>
            <w:vAlign w:val="center"/>
            <w:hideMark/>
          </w:tcPr>
          <w:p w:rsidR="00697DFE" w:rsidRPr="0022599E" w:rsidRDefault="00697DFE" w:rsidP="00A26F05">
            <w:pPr>
              <w:rPr>
                <w:b/>
                <w:bCs/>
                <w:color w:val="000000"/>
                <w:sz w:val="18"/>
                <w:szCs w:val="18"/>
              </w:rPr>
            </w:pPr>
          </w:p>
        </w:tc>
        <w:tc>
          <w:tcPr>
            <w:tcW w:w="2546" w:type="dxa"/>
            <w:tcBorders>
              <w:top w:val="single" w:sz="4" w:space="0" w:color="auto"/>
              <w:left w:val="single" w:sz="4" w:space="0" w:color="auto"/>
              <w:bottom w:val="single" w:sz="4" w:space="0" w:color="auto"/>
              <w:right w:val="single" w:sz="4" w:space="0" w:color="auto"/>
            </w:tcBorders>
            <w:shd w:val="clear" w:color="000000" w:fill="FFFFFF"/>
            <w:hideMark/>
          </w:tcPr>
          <w:p w:rsidR="00697DFE" w:rsidRPr="0022599E" w:rsidRDefault="00697DFE" w:rsidP="00A26F05">
            <w:pPr>
              <w:rPr>
                <w:color w:val="000000"/>
                <w:sz w:val="18"/>
                <w:szCs w:val="18"/>
              </w:rPr>
            </w:pPr>
            <w:r w:rsidRPr="0022599E">
              <w:rPr>
                <w:color w:val="000000"/>
                <w:sz w:val="18"/>
                <w:szCs w:val="18"/>
              </w:rPr>
              <w:t>Fondi per la Didattica/Orientamento/Scuola specializzazione</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728.963,00</w:t>
            </w:r>
          </w:p>
        </w:tc>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227.500,00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0,00</w:t>
            </w:r>
          </w:p>
        </w:tc>
      </w:tr>
      <w:tr w:rsidR="00697DFE" w:rsidRPr="0022599E" w:rsidTr="00A26F05">
        <w:trPr>
          <w:trHeight w:val="461"/>
        </w:trPr>
        <w:tc>
          <w:tcPr>
            <w:tcW w:w="2177" w:type="dxa"/>
            <w:vMerge/>
            <w:tcBorders>
              <w:top w:val="single" w:sz="4" w:space="0" w:color="auto"/>
              <w:left w:val="single" w:sz="4" w:space="0" w:color="auto"/>
              <w:bottom w:val="single" w:sz="4" w:space="0" w:color="auto"/>
              <w:right w:val="single" w:sz="4" w:space="0" w:color="auto"/>
            </w:tcBorders>
            <w:vAlign w:val="center"/>
            <w:hideMark/>
          </w:tcPr>
          <w:p w:rsidR="00697DFE" w:rsidRPr="0022599E" w:rsidRDefault="00697DFE" w:rsidP="00A26F05">
            <w:pPr>
              <w:rPr>
                <w:b/>
                <w:bCs/>
                <w:color w:val="000000"/>
                <w:sz w:val="18"/>
                <w:szCs w:val="18"/>
              </w:rPr>
            </w:pPr>
          </w:p>
        </w:tc>
        <w:tc>
          <w:tcPr>
            <w:tcW w:w="2546" w:type="dxa"/>
            <w:tcBorders>
              <w:top w:val="single" w:sz="4" w:space="0" w:color="auto"/>
              <w:left w:val="nil"/>
              <w:bottom w:val="single" w:sz="4" w:space="0" w:color="auto"/>
              <w:right w:val="nil"/>
            </w:tcBorders>
            <w:shd w:val="clear" w:color="000000" w:fill="FFFFFF"/>
            <w:hideMark/>
          </w:tcPr>
          <w:p w:rsidR="00697DFE" w:rsidRPr="0022599E" w:rsidRDefault="00697DFE" w:rsidP="00A26F05">
            <w:pPr>
              <w:rPr>
                <w:color w:val="000000"/>
                <w:sz w:val="18"/>
                <w:szCs w:val="18"/>
              </w:rPr>
            </w:pPr>
            <w:r w:rsidRPr="0022599E">
              <w:rPr>
                <w:color w:val="000000"/>
                <w:sz w:val="18"/>
                <w:szCs w:val="18"/>
              </w:rPr>
              <w:t>Progetti Edilizia Nazionali - Ministeriali</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3.357.628,00</w:t>
            </w:r>
          </w:p>
        </w:tc>
        <w:tc>
          <w:tcPr>
            <w:tcW w:w="1306" w:type="dxa"/>
            <w:tcBorders>
              <w:top w:val="single" w:sz="4" w:space="0" w:color="auto"/>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1.015.836,00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380.968,00</w:t>
            </w:r>
          </w:p>
        </w:tc>
      </w:tr>
      <w:tr w:rsidR="00697DFE" w:rsidRPr="0022599E" w:rsidTr="00A26F05">
        <w:trPr>
          <w:trHeight w:val="245"/>
        </w:trPr>
        <w:tc>
          <w:tcPr>
            <w:tcW w:w="2177" w:type="dxa"/>
            <w:vMerge/>
            <w:tcBorders>
              <w:top w:val="single" w:sz="4" w:space="0" w:color="auto"/>
              <w:left w:val="single" w:sz="4" w:space="0" w:color="auto"/>
              <w:bottom w:val="single" w:sz="4" w:space="0" w:color="auto"/>
              <w:right w:val="single" w:sz="4" w:space="0" w:color="auto"/>
            </w:tcBorders>
            <w:vAlign w:val="center"/>
            <w:hideMark/>
          </w:tcPr>
          <w:p w:rsidR="00697DFE" w:rsidRPr="0022599E" w:rsidRDefault="00697DFE" w:rsidP="00A26F05">
            <w:pPr>
              <w:rPr>
                <w:b/>
                <w:bCs/>
                <w:color w:val="000000"/>
                <w:sz w:val="18"/>
                <w:szCs w:val="18"/>
              </w:rPr>
            </w:pPr>
          </w:p>
        </w:tc>
        <w:tc>
          <w:tcPr>
            <w:tcW w:w="2546" w:type="dxa"/>
            <w:tcBorders>
              <w:top w:val="nil"/>
              <w:left w:val="nil"/>
              <w:bottom w:val="nil"/>
              <w:right w:val="nil"/>
            </w:tcBorders>
            <w:shd w:val="clear" w:color="000000" w:fill="FFFFFF"/>
            <w:hideMark/>
          </w:tcPr>
          <w:p w:rsidR="00697DFE" w:rsidRPr="0022599E" w:rsidRDefault="00697DFE" w:rsidP="00A26F05">
            <w:pPr>
              <w:rPr>
                <w:color w:val="000000"/>
                <w:sz w:val="18"/>
                <w:szCs w:val="18"/>
              </w:rPr>
            </w:pPr>
            <w:r w:rsidRPr="0022599E">
              <w:rPr>
                <w:color w:val="000000"/>
                <w:sz w:val="18"/>
                <w:szCs w:val="18"/>
              </w:rPr>
              <w:t>Altri fondi e contributi vari di Ateneo</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47.617,00</w:t>
            </w:r>
          </w:p>
        </w:tc>
        <w:tc>
          <w:tcPr>
            <w:tcW w:w="1306"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10.000,00</w:t>
            </w:r>
          </w:p>
        </w:tc>
        <w:tc>
          <w:tcPr>
            <w:tcW w:w="1340"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10.000,00</w:t>
            </w:r>
          </w:p>
        </w:tc>
      </w:tr>
      <w:tr w:rsidR="00697DFE" w:rsidRPr="0022599E" w:rsidTr="00A26F05">
        <w:trPr>
          <w:trHeight w:val="692"/>
        </w:trPr>
        <w:tc>
          <w:tcPr>
            <w:tcW w:w="2177" w:type="dxa"/>
            <w:vMerge/>
            <w:tcBorders>
              <w:top w:val="single" w:sz="4" w:space="0" w:color="auto"/>
              <w:left w:val="single" w:sz="4" w:space="0" w:color="auto"/>
              <w:bottom w:val="single" w:sz="4" w:space="0" w:color="auto"/>
              <w:right w:val="single" w:sz="4" w:space="0" w:color="auto"/>
            </w:tcBorders>
            <w:vAlign w:val="center"/>
            <w:hideMark/>
          </w:tcPr>
          <w:p w:rsidR="00697DFE" w:rsidRPr="0022599E" w:rsidRDefault="00697DFE" w:rsidP="00A26F05">
            <w:pPr>
              <w:rPr>
                <w:b/>
                <w:bCs/>
                <w:color w:val="000000"/>
                <w:sz w:val="18"/>
                <w:szCs w:val="18"/>
              </w:rPr>
            </w:pPr>
          </w:p>
        </w:tc>
        <w:tc>
          <w:tcPr>
            <w:tcW w:w="2546" w:type="dxa"/>
            <w:tcBorders>
              <w:top w:val="single" w:sz="4" w:space="0" w:color="auto"/>
              <w:left w:val="nil"/>
              <w:bottom w:val="single" w:sz="4" w:space="0" w:color="auto"/>
              <w:right w:val="nil"/>
            </w:tcBorders>
            <w:shd w:val="clear" w:color="000000" w:fill="FFFFFF"/>
            <w:hideMark/>
          </w:tcPr>
          <w:p w:rsidR="00697DFE" w:rsidRPr="0022599E" w:rsidRDefault="00697DFE" w:rsidP="00A26F05">
            <w:pPr>
              <w:rPr>
                <w:color w:val="000000"/>
                <w:sz w:val="18"/>
                <w:szCs w:val="18"/>
              </w:rPr>
            </w:pPr>
            <w:r w:rsidRPr="0022599E">
              <w:rPr>
                <w:color w:val="000000"/>
                <w:sz w:val="18"/>
                <w:szCs w:val="18"/>
              </w:rPr>
              <w:t>Contratti e Convenzioni Attività Commerciale/Progetti di ricerca Fondazioni</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695.997,00</w:t>
            </w:r>
          </w:p>
        </w:tc>
        <w:tc>
          <w:tcPr>
            <w:tcW w:w="1306"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32.000,00</w:t>
            </w:r>
          </w:p>
        </w:tc>
        <w:tc>
          <w:tcPr>
            <w:tcW w:w="1340" w:type="dxa"/>
            <w:tcBorders>
              <w:top w:val="nil"/>
              <w:left w:val="nil"/>
              <w:bottom w:val="single" w:sz="4" w:space="0" w:color="auto"/>
              <w:right w:val="single" w:sz="4" w:space="0" w:color="auto"/>
            </w:tcBorders>
            <w:shd w:val="clear" w:color="000000" w:fill="FFFFFF"/>
            <w:vAlign w:val="center"/>
            <w:hideMark/>
          </w:tcPr>
          <w:p w:rsidR="00697DFE" w:rsidRPr="0022599E" w:rsidRDefault="00697DFE" w:rsidP="00A26F05">
            <w:pPr>
              <w:jc w:val="right"/>
              <w:rPr>
                <w:color w:val="000000"/>
                <w:sz w:val="18"/>
                <w:szCs w:val="18"/>
              </w:rPr>
            </w:pPr>
            <w:r w:rsidRPr="0022599E">
              <w:rPr>
                <w:color w:val="000000"/>
                <w:sz w:val="18"/>
                <w:szCs w:val="18"/>
              </w:rPr>
              <w:t>0,00</w:t>
            </w:r>
          </w:p>
        </w:tc>
      </w:tr>
      <w:tr w:rsidR="00697DFE" w:rsidRPr="0022599E" w:rsidTr="00A26F05">
        <w:trPr>
          <w:trHeight w:val="259"/>
        </w:trPr>
        <w:tc>
          <w:tcPr>
            <w:tcW w:w="2177" w:type="dxa"/>
            <w:tcBorders>
              <w:top w:val="nil"/>
              <w:left w:val="single" w:sz="4" w:space="0" w:color="auto"/>
              <w:bottom w:val="nil"/>
              <w:right w:val="nil"/>
            </w:tcBorders>
            <w:shd w:val="clear" w:color="auto" w:fill="auto"/>
            <w:noWrap/>
            <w:vAlign w:val="bottom"/>
            <w:hideMark/>
          </w:tcPr>
          <w:p w:rsidR="00697DFE" w:rsidRPr="0022599E" w:rsidRDefault="00697DFE" w:rsidP="00A26F05">
            <w:pPr>
              <w:rPr>
                <w:sz w:val="18"/>
                <w:szCs w:val="18"/>
              </w:rPr>
            </w:pPr>
            <w:r w:rsidRPr="0022599E">
              <w:rPr>
                <w:sz w:val="18"/>
                <w:szCs w:val="18"/>
              </w:rPr>
              <w:t> </w:t>
            </w:r>
          </w:p>
        </w:tc>
        <w:tc>
          <w:tcPr>
            <w:tcW w:w="2546" w:type="dxa"/>
            <w:tcBorders>
              <w:top w:val="nil"/>
              <w:left w:val="nil"/>
              <w:bottom w:val="nil"/>
              <w:right w:val="nil"/>
            </w:tcBorders>
            <w:shd w:val="clear" w:color="auto" w:fill="auto"/>
            <w:noWrap/>
            <w:vAlign w:val="bottom"/>
            <w:hideMark/>
          </w:tcPr>
          <w:p w:rsidR="00697DFE" w:rsidRPr="0022599E" w:rsidRDefault="00697DFE" w:rsidP="00A26F05">
            <w:pPr>
              <w:rPr>
                <w:sz w:val="18"/>
                <w:szCs w:val="18"/>
              </w:rPr>
            </w:pPr>
            <w:r w:rsidRPr="0022599E">
              <w:rPr>
                <w:sz w:val="18"/>
                <w:szCs w:val="18"/>
              </w:rPr>
              <w:t> </w:t>
            </w:r>
          </w:p>
        </w:tc>
        <w:tc>
          <w:tcPr>
            <w:tcW w:w="1440" w:type="dxa"/>
            <w:tcBorders>
              <w:top w:val="nil"/>
              <w:left w:val="single" w:sz="4" w:space="0" w:color="auto"/>
              <w:bottom w:val="nil"/>
              <w:right w:val="single" w:sz="4" w:space="0" w:color="auto"/>
            </w:tcBorders>
            <w:shd w:val="clear" w:color="auto" w:fill="auto"/>
            <w:noWrap/>
            <w:vAlign w:val="bottom"/>
            <w:hideMark/>
          </w:tcPr>
          <w:p w:rsidR="00697DFE" w:rsidRPr="0022599E" w:rsidRDefault="00697DFE" w:rsidP="00A26F05">
            <w:pPr>
              <w:jc w:val="right"/>
              <w:rPr>
                <w:b/>
                <w:bCs/>
                <w:sz w:val="18"/>
                <w:szCs w:val="18"/>
              </w:rPr>
            </w:pPr>
            <w:r w:rsidRPr="0022599E">
              <w:rPr>
                <w:b/>
                <w:bCs/>
                <w:sz w:val="18"/>
                <w:szCs w:val="18"/>
              </w:rPr>
              <w:t>4.871.887,00</w:t>
            </w:r>
          </w:p>
        </w:tc>
        <w:tc>
          <w:tcPr>
            <w:tcW w:w="1306" w:type="dxa"/>
            <w:tcBorders>
              <w:top w:val="nil"/>
              <w:left w:val="nil"/>
              <w:bottom w:val="nil"/>
              <w:right w:val="single" w:sz="4" w:space="0" w:color="auto"/>
            </w:tcBorders>
            <w:shd w:val="clear" w:color="auto" w:fill="auto"/>
            <w:noWrap/>
            <w:vAlign w:val="bottom"/>
            <w:hideMark/>
          </w:tcPr>
          <w:p w:rsidR="00697DFE" w:rsidRPr="0022599E" w:rsidRDefault="00697DFE" w:rsidP="00A26F05">
            <w:pPr>
              <w:jc w:val="right"/>
              <w:rPr>
                <w:b/>
                <w:bCs/>
                <w:sz w:val="18"/>
                <w:szCs w:val="18"/>
              </w:rPr>
            </w:pPr>
            <w:r w:rsidRPr="0022599E">
              <w:rPr>
                <w:b/>
                <w:bCs/>
                <w:sz w:val="18"/>
                <w:szCs w:val="18"/>
              </w:rPr>
              <w:t>1.320.336,00</w:t>
            </w:r>
          </w:p>
        </w:tc>
        <w:tc>
          <w:tcPr>
            <w:tcW w:w="1340" w:type="dxa"/>
            <w:tcBorders>
              <w:top w:val="nil"/>
              <w:left w:val="nil"/>
              <w:bottom w:val="nil"/>
              <w:right w:val="single" w:sz="4" w:space="0" w:color="auto"/>
            </w:tcBorders>
            <w:shd w:val="clear" w:color="auto" w:fill="auto"/>
            <w:noWrap/>
            <w:vAlign w:val="bottom"/>
            <w:hideMark/>
          </w:tcPr>
          <w:p w:rsidR="00697DFE" w:rsidRPr="0022599E" w:rsidRDefault="00697DFE" w:rsidP="00A26F05">
            <w:pPr>
              <w:jc w:val="right"/>
              <w:rPr>
                <w:b/>
                <w:bCs/>
                <w:sz w:val="18"/>
                <w:szCs w:val="18"/>
              </w:rPr>
            </w:pPr>
            <w:r w:rsidRPr="0022599E">
              <w:rPr>
                <w:b/>
                <w:bCs/>
                <w:sz w:val="18"/>
                <w:szCs w:val="18"/>
              </w:rPr>
              <w:t>425.968,00</w:t>
            </w:r>
          </w:p>
        </w:tc>
      </w:tr>
      <w:tr w:rsidR="00697DFE" w:rsidRPr="0022599E" w:rsidTr="00A26F05">
        <w:trPr>
          <w:trHeight w:val="259"/>
        </w:trPr>
        <w:tc>
          <w:tcPr>
            <w:tcW w:w="2177" w:type="dxa"/>
            <w:tcBorders>
              <w:top w:val="single" w:sz="8" w:space="0" w:color="auto"/>
              <w:left w:val="single" w:sz="8" w:space="0" w:color="auto"/>
              <w:bottom w:val="single" w:sz="8" w:space="0" w:color="auto"/>
              <w:right w:val="nil"/>
            </w:tcBorders>
            <w:shd w:val="clear" w:color="auto" w:fill="auto"/>
            <w:noWrap/>
            <w:vAlign w:val="bottom"/>
            <w:hideMark/>
          </w:tcPr>
          <w:p w:rsidR="00697DFE" w:rsidRPr="0022599E" w:rsidRDefault="00697DFE" w:rsidP="00A26F05">
            <w:pPr>
              <w:rPr>
                <w:sz w:val="18"/>
                <w:szCs w:val="18"/>
              </w:rPr>
            </w:pPr>
            <w:r w:rsidRPr="0022599E">
              <w:rPr>
                <w:sz w:val="18"/>
                <w:szCs w:val="18"/>
              </w:rPr>
              <w:t> </w:t>
            </w:r>
          </w:p>
        </w:tc>
        <w:tc>
          <w:tcPr>
            <w:tcW w:w="2546" w:type="dxa"/>
            <w:tcBorders>
              <w:top w:val="single" w:sz="8" w:space="0" w:color="auto"/>
              <w:left w:val="nil"/>
              <w:bottom w:val="single" w:sz="8" w:space="0" w:color="auto"/>
              <w:right w:val="nil"/>
            </w:tcBorders>
            <w:shd w:val="clear" w:color="000000" w:fill="FFFFFF"/>
            <w:hideMark/>
          </w:tcPr>
          <w:p w:rsidR="00697DFE" w:rsidRPr="0022599E" w:rsidRDefault="00697DFE" w:rsidP="00A26F05">
            <w:pPr>
              <w:jc w:val="right"/>
              <w:rPr>
                <w:b/>
                <w:bCs/>
                <w:color w:val="000000"/>
                <w:sz w:val="18"/>
                <w:szCs w:val="18"/>
              </w:rPr>
            </w:pPr>
            <w:r w:rsidRPr="0022599E">
              <w:rPr>
                <w:b/>
                <w:bCs/>
                <w:color w:val="000000"/>
                <w:sz w:val="18"/>
                <w:szCs w:val="18"/>
              </w:rPr>
              <w:t>Totale costi attività progettuali</w:t>
            </w:r>
          </w:p>
        </w:tc>
        <w:tc>
          <w:tcPr>
            <w:tcW w:w="144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97DFE" w:rsidRPr="0022599E" w:rsidRDefault="00697DFE" w:rsidP="00A26F05">
            <w:pPr>
              <w:jc w:val="right"/>
              <w:rPr>
                <w:b/>
                <w:bCs/>
                <w:sz w:val="18"/>
                <w:szCs w:val="18"/>
              </w:rPr>
            </w:pPr>
            <w:r w:rsidRPr="0022599E">
              <w:rPr>
                <w:b/>
                <w:bCs/>
                <w:sz w:val="18"/>
                <w:szCs w:val="18"/>
              </w:rPr>
              <w:t>9.071.286,00</w:t>
            </w:r>
          </w:p>
        </w:tc>
        <w:tc>
          <w:tcPr>
            <w:tcW w:w="1306" w:type="dxa"/>
            <w:tcBorders>
              <w:top w:val="single" w:sz="8" w:space="0" w:color="auto"/>
              <w:left w:val="nil"/>
              <w:bottom w:val="single" w:sz="8" w:space="0" w:color="auto"/>
              <w:right w:val="single" w:sz="4" w:space="0" w:color="auto"/>
            </w:tcBorders>
            <w:shd w:val="clear" w:color="auto" w:fill="auto"/>
            <w:noWrap/>
            <w:vAlign w:val="bottom"/>
            <w:hideMark/>
          </w:tcPr>
          <w:p w:rsidR="00697DFE" w:rsidRPr="0022599E" w:rsidRDefault="00697DFE" w:rsidP="00A26F05">
            <w:pPr>
              <w:jc w:val="right"/>
              <w:rPr>
                <w:b/>
                <w:bCs/>
                <w:sz w:val="18"/>
                <w:szCs w:val="18"/>
              </w:rPr>
            </w:pPr>
            <w:r w:rsidRPr="0022599E">
              <w:rPr>
                <w:b/>
                <w:bCs/>
                <w:sz w:val="18"/>
                <w:szCs w:val="18"/>
              </w:rPr>
              <w:t>2.466.537,00</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rsidR="00697DFE" w:rsidRPr="0022599E" w:rsidRDefault="00697DFE" w:rsidP="00A26F05">
            <w:pPr>
              <w:jc w:val="right"/>
              <w:rPr>
                <w:b/>
                <w:bCs/>
                <w:sz w:val="18"/>
                <w:szCs w:val="18"/>
              </w:rPr>
            </w:pPr>
            <w:r w:rsidRPr="0022599E">
              <w:rPr>
                <w:b/>
                <w:bCs/>
                <w:sz w:val="18"/>
                <w:szCs w:val="18"/>
              </w:rPr>
              <w:t>1.107.845,00</w:t>
            </w:r>
          </w:p>
        </w:tc>
      </w:tr>
    </w:tbl>
    <w:p w:rsidR="00956FB5" w:rsidRDefault="00956FB5" w:rsidP="00956FB5">
      <w:pPr>
        <w:ind w:firstLine="720"/>
        <w:jc w:val="both"/>
        <w:rPr>
          <w:i/>
        </w:rPr>
      </w:pPr>
    </w:p>
    <w:p w:rsidR="0070101D" w:rsidRPr="008C4829" w:rsidRDefault="0070101D" w:rsidP="00BC0910">
      <w:pPr>
        <w:jc w:val="both"/>
        <w:rPr>
          <w:color w:val="548DD4" w:themeColor="text2" w:themeTint="99"/>
          <w:sz w:val="24"/>
          <w:szCs w:val="24"/>
        </w:rPr>
      </w:pPr>
    </w:p>
    <w:p w:rsidR="0070101D" w:rsidRPr="008C4829" w:rsidRDefault="0070101D" w:rsidP="00BC0910">
      <w:pPr>
        <w:jc w:val="both"/>
        <w:rPr>
          <w:color w:val="548DD4" w:themeColor="text2" w:themeTint="99"/>
          <w:sz w:val="24"/>
          <w:szCs w:val="24"/>
        </w:rPr>
      </w:pPr>
    </w:p>
    <w:p w:rsidR="00014F61" w:rsidRPr="0003034C" w:rsidRDefault="00412FB8" w:rsidP="00BB282E">
      <w:pPr>
        <w:jc w:val="both"/>
        <w:rPr>
          <w:sz w:val="24"/>
          <w:szCs w:val="24"/>
        </w:rPr>
      </w:pPr>
      <w:r w:rsidRPr="008C4829">
        <w:rPr>
          <w:color w:val="548DD4" w:themeColor="text2" w:themeTint="99"/>
          <w:sz w:val="24"/>
          <w:szCs w:val="24"/>
        </w:rPr>
        <w:tab/>
      </w:r>
      <w:r w:rsidR="00581E53" w:rsidRPr="0003034C">
        <w:rPr>
          <w:sz w:val="24"/>
          <w:szCs w:val="24"/>
        </w:rPr>
        <w:t>Inoltre, è opportuno specificare che l</w:t>
      </w:r>
      <w:r w:rsidRPr="0003034C">
        <w:rPr>
          <w:sz w:val="24"/>
          <w:szCs w:val="24"/>
        </w:rPr>
        <w:t>’Amministrazione Centrale accoglie progetti finalizzati</w:t>
      </w:r>
      <w:r w:rsidR="0012550E" w:rsidRPr="0003034C">
        <w:rPr>
          <w:sz w:val="24"/>
          <w:szCs w:val="24"/>
        </w:rPr>
        <w:t xml:space="preserve"> </w:t>
      </w:r>
      <w:r w:rsidRPr="0003034C">
        <w:rPr>
          <w:sz w:val="24"/>
          <w:szCs w:val="24"/>
        </w:rPr>
        <w:t>al</w:t>
      </w:r>
      <w:r w:rsidR="0012550E" w:rsidRPr="0003034C">
        <w:rPr>
          <w:sz w:val="24"/>
          <w:szCs w:val="24"/>
        </w:rPr>
        <w:t xml:space="preserve"> </w:t>
      </w:r>
      <w:r w:rsidRPr="0003034C">
        <w:rPr>
          <w:sz w:val="24"/>
          <w:szCs w:val="24"/>
        </w:rPr>
        <w:t>miglioramento dei servizi, generalmente finanziati da soggetti pubblici, e l’attività di natura commerciale non legata alla ricerca.</w:t>
      </w:r>
    </w:p>
    <w:p w:rsidR="00B759EB" w:rsidRDefault="00B759EB" w:rsidP="00014F61">
      <w:pPr>
        <w:ind w:firstLine="720"/>
        <w:jc w:val="both"/>
        <w:rPr>
          <w:sz w:val="24"/>
          <w:szCs w:val="24"/>
        </w:rPr>
      </w:pPr>
      <w:r w:rsidRPr="0003034C">
        <w:rPr>
          <w:sz w:val="24"/>
          <w:szCs w:val="24"/>
        </w:rPr>
        <w:lastRenderedPageBreak/>
        <w:t>Infine, si evidenzia ch</w:t>
      </w:r>
      <w:r w:rsidR="0003034C" w:rsidRPr="0003034C">
        <w:rPr>
          <w:sz w:val="24"/>
          <w:szCs w:val="24"/>
        </w:rPr>
        <w:t>e il valore di maggiore entità per l’Amministrazione Centrale è rappresentato dal</w:t>
      </w:r>
      <w:r w:rsidRPr="0003034C">
        <w:rPr>
          <w:sz w:val="24"/>
          <w:szCs w:val="24"/>
        </w:rPr>
        <w:t xml:space="preserve"> finanziamento “MISE” per il progetto “</w:t>
      </w:r>
      <w:r w:rsidR="0003034C" w:rsidRPr="0003034C">
        <w:rPr>
          <w:sz w:val="24"/>
          <w:szCs w:val="24"/>
        </w:rPr>
        <w:t xml:space="preserve">Sala </w:t>
      </w:r>
      <w:r w:rsidRPr="0003034C">
        <w:rPr>
          <w:sz w:val="24"/>
          <w:szCs w:val="24"/>
        </w:rPr>
        <w:t>Alta Tensione”.</w:t>
      </w:r>
      <w:r w:rsidR="0003034C">
        <w:rPr>
          <w:sz w:val="24"/>
          <w:szCs w:val="24"/>
        </w:rPr>
        <w:t xml:space="preserve"> L’importo complessivo rapportato all’intero triennio è di € 2.500.000,00.</w:t>
      </w:r>
    </w:p>
    <w:p w:rsidR="00222D99" w:rsidRPr="0003034C" w:rsidRDefault="00222D99" w:rsidP="00014F61">
      <w:pPr>
        <w:ind w:firstLine="720"/>
        <w:jc w:val="both"/>
        <w:rPr>
          <w:sz w:val="24"/>
          <w:szCs w:val="24"/>
        </w:rPr>
      </w:pPr>
    </w:p>
    <w:p w:rsidR="00A42C50" w:rsidRPr="008C4829" w:rsidRDefault="00A42C50" w:rsidP="00BB282E">
      <w:pPr>
        <w:jc w:val="both"/>
        <w:rPr>
          <w:b/>
          <w:color w:val="548DD4" w:themeColor="text2" w:themeTint="99"/>
          <w:sz w:val="24"/>
          <w:szCs w:val="24"/>
        </w:rPr>
      </w:pPr>
    </w:p>
    <w:p w:rsidR="00783792" w:rsidRPr="008C4829" w:rsidRDefault="00783792" w:rsidP="00A42C50">
      <w:pPr>
        <w:jc w:val="both"/>
        <w:rPr>
          <w:b/>
          <w:color w:val="548DD4" w:themeColor="text2" w:themeTint="99"/>
          <w:sz w:val="24"/>
          <w:szCs w:val="24"/>
        </w:rPr>
      </w:pPr>
    </w:p>
    <w:p w:rsidR="00783792" w:rsidRPr="00076C41" w:rsidRDefault="00783792" w:rsidP="00076645">
      <w:pPr>
        <w:pStyle w:val="Titolo3"/>
        <w:ind w:left="0"/>
        <w:jc w:val="both"/>
        <w:rPr>
          <w:i/>
        </w:rPr>
      </w:pPr>
      <w:bookmarkStart w:id="9" w:name="_Toc469659517"/>
      <w:r w:rsidRPr="00076C41">
        <w:rPr>
          <w:i/>
        </w:rPr>
        <w:t>2.1.6 Ricavi derivanti da sterilizzazioni di ammortamenti</w:t>
      </w:r>
      <w:bookmarkEnd w:id="9"/>
    </w:p>
    <w:p w:rsidR="00783792" w:rsidRPr="008C4829" w:rsidRDefault="00783792" w:rsidP="00783792">
      <w:pPr>
        <w:jc w:val="both"/>
        <w:rPr>
          <w:b/>
          <w:i/>
          <w:color w:val="548DD4" w:themeColor="text2" w:themeTint="99"/>
          <w:sz w:val="24"/>
          <w:szCs w:val="24"/>
        </w:rPr>
      </w:pPr>
    </w:p>
    <w:p w:rsidR="00783792" w:rsidRPr="0003034C" w:rsidRDefault="00783792" w:rsidP="00A42C50">
      <w:pPr>
        <w:jc w:val="both"/>
        <w:rPr>
          <w:sz w:val="24"/>
          <w:szCs w:val="24"/>
        </w:rPr>
      </w:pPr>
      <w:r w:rsidRPr="008C4829">
        <w:rPr>
          <w:color w:val="548DD4" w:themeColor="text2" w:themeTint="99"/>
          <w:sz w:val="24"/>
          <w:szCs w:val="24"/>
        </w:rPr>
        <w:tab/>
      </w:r>
      <w:r w:rsidRPr="0003034C">
        <w:rPr>
          <w:sz w:val="24"/>
          <w:szCs w:val="24"/>
        </w:rPr>
        <w:t xml:space="preserve">L’entità dei ricavi per sterilizzazione di ammortamenti presente alla voce </w:t>
      </w:r>
      <w:r w:rsidR="002D46B0" w:rsidRPr="0003034C">
        <w:rPr>
          <w:sz w:val="24"/>
          <w:szCs w:val="24"/>
        </w:rPr>
        <w:t xml:space="preserve">B.X.2 “Ammortamento immobilizzazioni materiali” è di € </w:t>
      </w:r>
      <w:r w:rsidR="00EB1241">
        <w:rPr>
          <w:sz w:val="24"/>
          <w:szCs w:val="24"/>
        </w:rPr>
        <w:t>6.5</w:t>
      </w:r>
      <w:r w:rsidR="0003034C" w:rsidRPr="0003034C">
        <w:rPr>
          <w:sz w:val="24"/>
          <w:szCs w:val="24"/>
        </w:rPr>
        <w:t>00.000,00</w:t>
      </w:r>
      <w:r w:rsidR="002D46B0" w:rsidRPr="0003034C">
        <w:rPr>
          <w:sz w:val="24"/>
          <w:szCs w:val="24"/>
        </w:rPr>
        <w:t xml:space="preserve"> e comprende l’importo di € </w:t>
      </w:r>
      <w:r w:rsidR="00E451CE">
        <w:rPr>
          <w:sz w:val="24"/>
          <w:szCs w:val="24"/>
        </w:rPr>
        <w:t>2.500.000,00 su immobili, € 3.600.000,00</w:t>
      </w:r>
      <w:r w:rsidR="002D46B0" w:rsidRPr="0003034C">
        <w:rPr>
          <w:sz w:val="24"/>
          <w:szCs w:val="24"/>
        </w:rPr>
        <w:t xml:space="preserve"> su</w:t>
      </w:r>
      <w:r w:rsidR="00E451CE">
        <w:rPr>
          <w:sz w:val="24"/>
          <w:szCs w:val="24"/>
        </w:rPr>
        <w:t xml:space="preserve"> attrezzature scientifiche ed € </w:t>
      </w:r>
      <w:r w:rsidR="00EB1241">
        <w:rPr>
          <w:sz w:val="24"/>
          <w:szCs w:val="24"/>
        </w:rPr>
        <w:t>4</w:t>
      </w:r>
      <w:r w:rsidR="00E451CE">
        <w:rPr>
          <w:sz w:val="24"/>
          <w:szCs w:val="24"/>
        </w:rPr>
        <w:t>00.000,00 su altri</w:t>
      </w:r>
      <w:r w:rsidR="002D46B0" w:rsidRPr="0003034C">
        <w:rPr>
          <w:sz w:val="24"/>
          <w:szCs w:val="24"/>
        </w:rPr>
        <w:t xml:space="preserve"> beni mobili.</w:t>
      </w:r>
      <w:r w:rsidR="00EB1241">
        <w:rPr>
          <w:sz w:val="24"/>
          <w:szCs w:val="24"/>
        </w:rPr>
        <w:t xml:space="preserve"> Nella parte dei costi, la sterilizzazione prevede un’eccedenza di € 400.000,00 riferibile a costi relativi ad annualità pregresse.</w:t>
      </w:r>
    </w:p>
    <w:p w:rsidR="002D46B0" w:rsidRPr="008C4829" w:rsidRDefault="002D46B0" w:rsidP="00A42C50">
      <w:pPr>
        <w:jc w:val="both"/>
        <w:rPr>
          <w:b/>
          <w:color w:val="548DD4" w:themeColor="text2" w:themeTint="99"/>
          <w:sz w:val="24"/>
          <w:szCs w:val="24"/>
        </w:rPr>
      </w:pPr>
    </w:p>
    <w:p w:rsidR="00783792" w:rsidRPr="008C4829" w:rsidRDefault="00783792" w:rsidP="00A42C50">
      <w:pPr>
        <w:jc w:val="both"/>
        <w:rPr>
          <w:b/>
          <w:color w:val="548DD4" w:themeColor="text2" w:themeTint="99"/>
          <w:sz w:val="24"/>
          <w:szCs w:val="24"/>
        </w:rPr>
      </w:pPr>
    </w:p>
    <w:p w:rsidR="00A42C50" w:rsidRPr="00BB133C" w:rsidRDefault="00A42C50" w:rsidP="00076645">
      <w:pPr>
        <w:pStyle w:val="Titolo2"/>
        <w:jc w:val="left"/>
        <w:rPr>
          <w:i/>
          <w:u w:val="single"/>
        </w:rPr>
      </w:pPr>
      <w:bookmarkStart w:id="10" w:name="_Toc469659518"/>
      <w:r w:rsidRPr="00BB133C">
        <w:rPr>
          <w:i/>
          <w:u w:val="single"/>
        </w:rPr>
        <w:t>2.2 Costi</w:t>
      </w:r>
      <w:bookmarkEnd w:id="10"/>
    </w:p>
    <w:p w:rsidR="00751608" w:rsidRPr="008C4829" w:rsidRDefault="00751608" w:rsidP="00A42C50">
      <w:pPr>
        <w:jc w:val="both"/>
        <w:rPr>
          <w:b/>
          <w:color w:val="548DD4" w:themeColor="text2" w:themeTint="99"/>
          <w:sz w:val="24"/>
          <w:szCs w:val="24"/>
        </w:rPr>
      </w:pPr>
    </w:p>
    <w:p w:rsidR="00463979" w:rsidRDefault="005647E8" w:rsidP="00463979">
      <w:pPr>
        <w:ind w:firstLine="720"/>
        <w:jc w:val="both"/>
        <w:rPr>
          <w:sz w:val="24"/>
          <w:szCs w:val="24"/>
        </w:rPr>
      </w:pPr>
      <w:r w:rsidRPr="00463979">
        <w:rPr>
          <w:sz w:val="24"/>
          <w:szCs w:val="24"/>
        </w:rPr>
        <w:t xml:space="preserve">Si rappresenta nella </w:t>
      </w:r>
      <w:r w:rsidRPr="00B01D15">
        <w:rPr>
          <w:i/>
          <w:sz w:val="24"/>
          <w:szCs w:val="24"/>
        </w:rPr>
        <w:t xml:space="preserve">Tabella </w:t>
      </w:r>
      <w:r w:rsidR="00463979" w:rsidRPr="00B01D15">
        <w:rPr>
          <w:i/>
          <w:sz w:val="24"/>
          <w:szCs w:val="24"/>
        </w:rPr>
        <w:t>7</w:t>
      </w:r>
      <w:r w:rsidR="00463979">
        <w:rPr>
          <w:i/>
          <w:color w:val="FF0000"/>
          <w:sz w:val="24"/>
          <w:szCs w:val="24"/>
        </w:rPr>
        <w:t xml:space="preserve"> </w:t>
      </w:r>
      <w:r w:rsidRPr="00463979">
        <w:rPr>
          <w:sz w:val="24"/>
          <w:szCs w:val="24"/>
        </w:rPr>
        <w:t>l’insie</w:t>
      </w:r>
      <w:r w:rsidR="00463979" w:rsidRPr="00463979">
        <w:rPr>
          <w:sz w:val="24"/>
          <w:szCs w:val="24"/>
        </w:rPr>
        <w:t xml:space="preserve">me dei costi </w:t>
      </w:r>
      <w:r w:rsidR="00B01D15">
        <w:rPr>
          <w:sz w:val="24"/>
          <w:szCs w:val="24"/>
        </w:rPr>
        <w:t>di esercizio</w:t>
      </w:r>
      <w:r w:rsidR="00463979" w:rsidRPr="00463979">
        <w:rPr>
          <w:sz w:val="24"/>
          <w:szCs w:val="24"/>
        </w:rPr>
        <w:t xml:space="preserve"> </w:t>
      </w:r>
      <w:r w:rsidRPr="00463979">
        <w:rPr>
          <w:sz w:val="24"/>
          <w:szCs w:val="24"/>
        </w:rPr>
        <w:t>pe</w:t>
      </w:r>
      <w:r w:rsidR="00463979" w:rsidRPr="00463979">
        <w:rPr>
          <w:sz w:val="24"/>
          <w:szCs w:val="24"/>
        </w:rPr>
        <w:t>r il triennio di riferimento.</w:t>
      </w:r>
      <w:r w:rsidRPr="00463979">
        <w:rPr>
          <w:sz w:val="24"/>
          <w:szCs w:val="24"/>
        </w:rPr>
        <w:t xml:space="preserve"> </w:t>
      </w:r>
    </w:p>
    <w:p w:rsidR="00C73480" w:rsidRDefault="00C73480" w:rsidP="00463979">
      <w:pPr>
        <w:ind w:firstLine="720"/>
        <w:jc w:val="both"/>
        <w:rPr>
          <w:sz w:val="24"/>
          <w:szCs w:val="24"/>
        </w:rPr>
      </w:pPr>
      <w:r>
        <w:rPr>
          <w:sz w:val="24"/>
          <w:szCs w:val="24"/>
        </w:rPr>
        <w:t xml:space="preserve">I totali mostrano una notevole diminuzione dei valori nell’arco del triennio. Tale circostanza, </w:t>
      </w:r>
      <w:r w:rsidR="00477244">
        <w:rPr>
          <w:sz w:val="24"/>
          <w:szCs w:val="24"/>
        </w:rPr>
        <w:t>in termini generali, è riconducibile innanzitutto alla volontà di effettuare previsioni orientate al contenimento della spesa nel medio periodo, ma anche all’esigenza di basare le stime sulle informazioni effettivamente disponibili. Del resto, il sistema economico-patrimoniale è difficilmente conciliabile con metodologie basate in prevalenza sull’analisi delle serie storiche.</w:t>
      </w:r>
    </w:p>
    <w:p w:rsidR="00477244" w:rsidRDefault="004557C7" w:rsidP="00463979">
      <w:pPr>
        <w:ind w:firstLine="720"/>
        <w:jc w:val="both"/>
        <w:rPr>
          <w:sz w:val="24"/>
          <w:szCs w:val="24"/>
        </w:rPr>
      </w:pPr>
      <w:r>
        <w:rPr>
          <w:sz w:val="24"/>
          <w:szCs w:val="24"/>
        </w:rPr>
        <w:t>D’altra parte</w:t>
      </w:r>
      <w:r w:rsidR="00477244">
        <w:rPr>
          <w:sz w:val="24"/>
          <w:szCs w:val="24"/>
        </w:rPr>
        <w:t>, in corso d’anno, si procederà a monitoraggi periodici degli equilibri di bilancio, acquisendo altresì maggiori informazioni su quelle fattispecie che, ad oggi, risultano basate su stime di massima.</w:t>
      </w:r>
    </w:p>
    <w:p w:rsidR="00477244" w:rsidRPr="00463979" w:rsidRDefault="00477244" w:rsidP="00463979">
      <w:pPr>
        <w:ind w:firstLine="720"/>
        <w:jc w:val="both"/>
        <w:rPr>
          <w:sz w:val="24"/>
          <w:szCs w:val="24"/>
        </w:rPr>
      </w:pPr>
      <w:r>
        <w:rPr>
          <w:sz w:val="24"/>
          <w:szCs w:val="24"/>
        </w:rPr>
        <w:t>Per quanto riguarda l’esame delle principali voci di costo, si rimanda a quanto enunciato nei paragrafi successivi.</w:t>
      </w:r>
    </w:p>
    <w:p w:rsidR="00463979" w:rsidRDefault="00463979" w:rsidP="00463979">
      <w:pPr>
        <w:ind w:firstLine="720"/>
        <w:jc w:val="both"/>
        <w:rPr>
          <w:color w:val="548DD4" w:themeColor="text2" w:themeTint="99"/>
          <w:sz w:val="24"/>
          <w:szCs w:val="24"/>
        </w:rPr>
      </w:pPr>
    </w:p>
    <w:p w:rsidR="00463979" w:rsidRPr="005F5522" w:rsidRDefault="00FA6BB9" w:rsidP="00463979">
      <w:pPr>
        <w:ind w:firstLine="720"/>
        <w:jc w:val="both"/>
        <w:rPr>
          <w:sz w:val="24"/>
          <w:szCs w:val="24"/>
        </w:rPr>
      </w:pPr>
      <w:r>
        <w:rPr>
          <w:i/>
        </w:rPr>
        <w:t>Tabella 7: Voci di costo – Budget economico</w:t>
      </w:r>
    </w:p>
    <w:p w:rsidR="00463979" w:rsidRPr="008C4829" w:rsidRDefault="00463979" w:rsidP="00463979">
      <w:pPr>
        <w:ind w:firstLine="720"/>
        <w:jc w:val="both"/>
        <w:rPr>
          <w:b/>
          <w:color w:val="548DD4" w:themeColor="text2" w:themeTint="99"/>
          <w:sz w:val="24"/>
          <w:szCs w:val="24"/>
        </w:rPr>
      </w:pPr>
    </w:p>
    <w:tbl>
      <w:tblPr>
        <w:tblW w:w="9940" w:type="dxa"/>
        <w:tblCellMar>
          <w:left w:w="70" w:type="dxa"/>
          <w:right w:w="70" w:type="dxa"/>
        </w:tblCellMar>
        <w:tblLook w:val="04A0" w:firstRow="1" w:lastRow="0" w:firstColumn="1" w:lastColumn="0" w:noHBand="0" w:noVBand="1"/>
      </w:tblPr>
      <w:tblGrid>
        <w:gridCol w:w="1640"/>
        <w:gridCol w:w="3460"/>
        <w:gridCol w:w="1760"/>
        <w:gridCol w:w="1560"/>
        <w:gridCol w:w="1520"/>
      </w:tblGrid>
      <w:tr w:rsidR="00463979" w:rsidRPr="008731AE" w:rsidTr="00A26F05">
        <w:trPr>
          <w:trHeight w:val="735"/>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jc w:val="center"/>
              <w:rPr>
                <w:b/>
                <w:bCs/>
                <w:color w:val="000000"/>
                <w:sz w:val="16"/>
                <w:szCs w:val="16"/>
              </w:rPr>
            </w:pPr>
            <w:r w:rsidRPr="008731AE">
              <w:rPr>
                <w:b/>
                <w:bCs/>
                <w:color w:val="000000"/>
                <w:sz w:val="16"/>
                <w:szCs w:val="16"/>
              </w:rPr>
              <w:t>Voce COAN</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463979" w:rsidRPr="008731AE" w:rsidRDefault="00463979" w:rsidP="00A26F05">
            <w:pPr>
              <w:jc w:val="center"/>
              <w:rPr>
                <w:b/>
                <w:bCs/>
                <w:color w:val="000000"/>
                <w:sz w:val="16"/>
                <w:szCs w:val="16"/>
              </w:rPr>
            </w:pPr>
            <w:r w:rsidRPr="008731AE">
              <w:rPr>
                <w:b/>
                <w:bCs/>
                <w:color w:val="000000"/>
                <w:sz w:val="16"/>
                <w:szCs w:val="16"/>
              </w:rPr>
              <w:t>Descrizione Voce COAN</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463979" w:rsidRPr="008731AE" w:rsidRDefault="00463979" w:rsidP="00A26F05">
            <w:pPr>
              <w:jc w:val="center"/>
              <w:rPr>
                <w:b/>
                <w:bCs/>
                <w:color w:val="000000"/>
                <w:sz w:val="16"/>
                <w:szCs w:val="16"/>
              </w:rPr>
            </w:pPr>
            <w:r w:rsidRPr="008731AE">
              <w:rPr>
                <w:b/>
                <w:bCs/>
                <w:color w:val="000000"/>
                <w:sz w:val="16"/>
                <w:szCs w:val="16"/>
              </w:rPr>
              <w:t>Budget 2017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63979" w:rsidRPr="008731AE" w:rsidRDefault="00463979" w:rsidP="00A26F05">
            <w:pPr>
              <w:jc w:val="center"/>
              <w:rPr>
                <w:b/>
                <w:bCs/>
                <w:color w:val="000000"/>
                <w:sz w:val="16"/>
                <w:szCs w:val="16"/>
              </w:rPr>
            </w:pPr>
            <w:r w:rsidRPr="008731AE">
              <w:rPr>
                <w:b/>
                <w:bCs/>
                <w:color w:val="000000"/>
                <w:sz w:val="16"/>
                <w:szCs w:val="16"/>
              </w:rPr>
              <w:t>Budget 2018</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463979" w:rsidRPr="008731AE" w:rsidRDefault="00463979" w:rsidP="00A26F05">
            <w:pPr>
              <w:jc w:val="center"/>
              <w:rPr>
                <w:b/>
                <w:bCs/>
                <w:color w:val="000000"/>
                <w:sz w:val="16"/>
                <w:szCs w:val="16"/>
              </w:rPr>
            </w:pPr>
            <w:r w:rsidRPr="008731AE">
              <w:rPr>
                <w:b/>
                <w:bCs/>
                <w:color w:val="000000"/>
                <w:sz w:val="16"/>
                <w:szCs w:val="16"/>
              </w:rPr>
              <w:t>Budget 2019</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000000" w:fill="FFFFFF"/>
            <w:vAlign w:val="center"/>
            <w:hideMark/>
          </w:tcPr>
          <w:p w:rsidR="00463979" w:rsidRPr="008731AE" w:rsidRDefault="00463979" w:rsidP="00A26F05">
            <w:pPr>
              <w:rPr>
                <w:color w:val="000000"/>
                <w:sz w:val="16"/>
                <w:szCs w:val="16"/>
              </w:rPr>
            </w:pPr>
            <w:r w:rsidRPr="008731AE">
              <w:rPr>
                <w:color w:val="000000"/>
                <w:sz w:val="16"/>
                <w:szCs w:val="16"/>
              </w:rPr>
              <w:t>CA.04.43.01.01.01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Stipendi ed altri assegni fissi al personale docente e ricercatore</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15.415.376,00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15.205.175,00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14.588.554,00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000000" w:fill="FFFFFF"/>
            <w:vAlign w:val="center"/>
            <w:hideMark/>
          </w:tcPr>
          <w:p w:rsidR="00463979" w:rsidRPr="008731AE" w:rsidRDefault="00463979" w:rsidP="00A26F05">
            <w:pPr>
              <w:rPr>
                <w:color w:val="000000"/>
                <w:sz w:val="16"/>
                <w:szCs w:val="16"/>
              </w:rPr>
            </w:pPr>
            <w:r w:rsidRPr="008731AE">
              <w:rPr>
                <w:color w:val="000000"/>
                <w:sz w:val="16"/>
                <w:szCs w:val="16"/>
              </w:rPr>
              <w:t>CA.04.43.01.01.02</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Oneri previdenziali a carico Ente su assegni fissi personale docente e ricercatore</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4.420.544,00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4.358.175,00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4.182.571,00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000000" w:fill="FFFFFF"/>
            <w:vAlign w:val="center"/>
            <w:hideMark/>
          </w:tcPr>
          <w:p w:rsidR="00463979" w:rsidRPr="008731AE" w:rsidRDefault="00463979" w:rsidP="00A26F05">
            <w:pPr>
              <w:rPr>
                <w:color w:val="000000"/>
                <w:sz w:val="16"/>
                <w:szCs w:val="16"/>
              </w:rPr>
            </w:pPr>
            <w:r w:rsidRPr="008731AE">
              <w:rPr>
                <w:color w:val="000000"/>
                <w:sz w:val="16"/>
                <w:szCs w:val="16"/>
              </w:rPr>
              <w:t>CA.04.43.01.01.03</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Oneri IRAP su assegni fissi personale docente e ricercatore</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1.307.931,00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1.289.840,00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1.238.198,00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000000" w:fill="FFFFFF"/>
            <w:vAlign w:val="center"/>
            <w:hideMark/>
          </w:tcPr>
          <w:p w:rsidR="00463979" w:rsidRPr="008731AE" w:rsidRDefault="00463979" w:rsidP="00A26F05">
            <w:pPr>
              <w:rPr>
                <w:color w:val="000000"/>
                <w:sz w:val="16"/>
                <w:szCs w:val="16"/>
              </w:rPr>
            </w:pPr>
            <w:r w:rsidRPr="008731AE">
              <w:rPr>
                <w:color w:val="000000"/>
                <w:sz w:val="16"/>
                <w:szCs w:val="16"/>
              </w:rPr>
              <w:t>CA.04.43.02.01.01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Altre competenze al personale docente e ricercatore</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307.637,41</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302.400,00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2.400,00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000000" w:fill="FFFFFF"/>
            <w:vAlign w:val="center"/>
            <w:hideMark/>
          </w:tcPr>
          <w:p w:rsidR="00463979" w:rsidRPr="008731AE" w:rsidRDefault="00463979" w:rsidP="00A26F05">
            <w:pPr>
              <w:rPr>
                <w:color w:val="000000"/>
                <w:sz w:val="16"/>
                <w:szCs w:val="16"/>
              </w:rPr>
            </w:pPr>
            <w:r w:rsidRPr="008731AE">
              <w:rPr>
                <w:color w:val="000000"/>
                <w:sz w:val="16"/>
                <w:szCs w:val="16"/>
              </w:rPr>
              <w:t>CA.04.43.02.02.01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Competenze al personale docente e ricercatore su prestazioni conto terzi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410.112,63</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10.300,00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000000" w:fill="FFFFFF"/>
            <w:vAlign w:val="center"/>
            <w:hideMark/>
          </w:tcPr>
          <w:p w:rsidR="00463979" w:rsidRPr="008731AE" w:rsidRDefault="00463979" w:rsidP="00A26F05">
            <w:pPr>
              <w:rPr>
                <w:color w:val="000000"/>
                <w:sz w:val="16"/>
                <w:szCs w:val="16"/>
              </w:rPr>
            </w:pPr>
            <w:r w:rsidRPr="008731AE">
              <w:rPr>
                <w:color w:val="000000"/>
                <w:sz w:val="16"/>
                <w:szCs w:val="16"/>
              </w:rPr>
              <w:t>CA.04.43.06.01.01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Oneri per arretrati al personale docente e ricercatore</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150.170,00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000000" w:fill="FFFFFF"/>
            <w:vAlign w:val="center"/>
            <w:hideMark/>
          </w:tcPr>
          <w:p w:rsidR="00463979" w:rsidRPr="008731AE" w:rsidRDefault="00463979" w:rsidP="00A26F05">
            <w:pPr>
              <w:rPr>
                <w:color w:val="000000"/>
                <w:sz w:val="16"/>
                <w:szCs w:val="16"/>
              </w:rPr>
            </w:pPr>
            <w:r w:rsidRPr="008731AE">
              <w:rPr>
                <w:color w:val="000000"/>
                <w:sz w:val="16"/>
                <w:szCs w:val="16"/>
              </w:rPr>
              <w:t>CA.04.43.06.01.02</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Oneri previdenziali a carico Ente su arretrati al personale docente e ricercatore</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43.988,00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000000" w:fill="FFFFFF"/>
            <w:vAlign w:val="center"/>
            <w:hideMark/>
          </w:tcPr>
          <w:p w:rsidR="00463979" w:rsidRPr="008731AE" w:rsidRDefault="00463979" w:rsidP="00A26F05">
            <w:pPr>
              <w:rPr>
                <w:color w:val="000000"/>
                <w:sz w:val="16"/>
                <w:szCs w:val="16"/>
              </w:rPr>
            </w:pPr>
            <w:r w:rsidRPr="008731AE">
              <w:rPr>
                <w:color w:val="000000"/>
                <w:sz w:val="16"/>
                <w:szCs w:val="16"/>
              </w:rPr>
              <w:t>CA.04.43.06.01.03</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Oneri IRAP su arretrati al personale docente e ricercatore</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12.765,00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000000" w:fill="FFFFFF"/>
            <w:vAlign w:val="center"/>
            <w:hideMark/>
          </w:tcPr>
          <w:p w:rsidR="00463979" w:rsidRPr="008731AE" w:rsidRDefault="00463979" w:rsidP="00A26F05">
            <w:pPr>
              <w:rPr>
                <w:color w:val="000000"/>
                <w:sz w:val="16"/>
                <w:szCs w:val="16"/>
              </w:rPr>
            </w:pPr>
            <w:r w:rsidRPr="008731AE">
              <w:rPr>
                <w:color w:val="000000"/>
                <w:sz w:val="16"/>
                <w:szCs w:val="16"/>
              </w:rPr>
              <w:lastRenderedPageBreak/>
              <w:t>CA.04.43.08.01.01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Supplenze personale docente</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140.000,00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140.000,00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140.000,00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000000" w:fill="FFFFFF"/>
            <w:vAlign w:val="center"/>
            <w:hideMark/>
          </w:tcPr>
          <w:p w:rsidR="00463979" w:rsidRPr="008731AE" w:rsidRDefault="00463979" w:rsidP="00A26F05">
            <w:pPr>
              <w:rPr>
                <w:color w:val="000000"/>
                <w:sz w:val="16"/>
                <w:szCs w:val="16"/>
              </w:rPr>
            </w:pPr>
            <w:r w:rsidRPr="008731AE">
              <w:rPr>
                <w:color w:val="000000"/>
                <w:sz w:val="16"/>
                <w:szCs w:val="16"/>
              </w:rPr>
              <w:t>CA.04.43.08.01.02</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Oneri previdenziali a carico Ente su supplenze personale docente</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36.000,00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36.000,00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36.000,00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000000" w:fill="FFFFFF"/>
            <w:vAlign w:val="center"/>
            <w:hideMark/>
          </w:tcPr>
          <w:p w:rsidR="00463979" w:rsidRPr="008731AE" w:rsidRDefault="00463979" w:rsidP="00A26F05">
            <w:pPr>
              <w:rPr>
                <w:color w:val="000000"/>
                <w:sz w:val="16"/>
                <w:szCs w:val="16"/>
              </w:rPr>
            </w:pPr>
            <w:r w:rsidRPr="008731AE">
              <w:rPr>
                <w:color w:val="000000"/>
                <w:sz w:val="16"/>
                <w:szCs w:val="16"/>
              </w:rPr>
              <w:t>CA.04.43.08.01.03</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Oneri IRAP su supplenze personale docente</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14.000,00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14.000,00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14.000,00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000000" w:fill="FFFFFF"/>
            <w:vAlign w:val="center"/>
            <w:hideMark/>
          </w:tcPr>
          <w:p w:rsidR="00463979" w:rsidRPr="008731AE" w:rsidRDefault="00463979" w:rsidP="00A26F05">
            <w:pPr>
              <w:rPr>
                <w:color w:val="000000"/>
                <w:sz w:val="16"/>
                <w:szCs w:val="16"/>
              </w:rPr>
            </w:pPr>
            <w:r w:rsidRPr="008731AE">
              <w:rPr>
                <w:color w:val="000000"/>
                <w:sz w:val="16"/>
                <w:szCs w:val="16"/>
              </w:rPr>
              <w:t>CA.04.43.08.02.01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Contratti personale docente</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61.500,00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61.500,00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61.500,00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000000" w:fill="FFFFFF"/>
            <w:vAlign w:val="center"/>
            <w:hideMark/>
          </w:tcPr>
          <w:p w:rsidR="00463979" w:rsidRPr="008731AE" w:rsidRDefault="00463979" w:rsidP="00A26F05">
            <w:pPr>
              <w:rPr>
                <w:color w:val="000000"/>
                <w:sz w:val="16"/>
                <w:szCs w:val="16"/>
              </w:rPr>
            </w:pPr>
            <w:r w:rsidRPr="008731AE">
              <w:rPr>
                <w:color w:val="000000"/>
                <w:sz w:val="16"/>
                <w:szCs w:val="16"/>
              </w:rPr>
              <w:t>CA.04.43.08.04.01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Ricercatori a tempo determinato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1.015.467,00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842.973,00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456.605,00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000000" w:fill="FFFFFF"/>
            <w:vAlign w:val="center"/>
            <w:hideMark/>
          </w:tcPr>
          <w:p w:rsidR="00463979" w:rsidRPr="008731AE" w:rsidRDefault="00463979" w:rsidP="00A26F05">
            <w:pPr>
              <w:rPr>
                <w:color w:val="000000"/>
                <w:sz w:val="16"/>
                <w:szCs w:val="16"/>
              </w:rPr>
            </w:pPr>
            <w:r w:rsidRPr="008731AE">
              <w:rPr>
                <w:color w:val="000000"/>
                <w:sz w:val="16"/>
                <w:szCs w:val="16"/>
              </w:rPr>
              <w:t>CA.04.43.08.04.02</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Oneri previdenziali a carico Ente su retribuzioni ricercatori a tempo determinato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260.400,00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237.906,00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121.619,00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000000" w:fill="FFFFFF"/>
            <w:vAlign w:val="center"/>
            <w:hideMark/>
          </w:tcPr>
          <w:p w:rsidR="00463979" w:rsidRPr="008731AE" w:rsidRDefault="00463979" w:rsidP="00A26F05">
            <w:pPr>
              <w:rPr>
                <w:color w:val="000000"/>
                <w:sz w:val="16"/>
                <w:szCs w:val="16"/>
              </w:rPr>
            </w:pPr>
            <w:r w:rsidRPr="008731AE">
              <w:rPr>
                <w:color w:val="000000"/>
                <w:sz w:val="16"/>
                <w:szCs w:val="16"/>
              </w:rPr>
              <w:t>CA.04.43.08.04.03</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Oneri IRAP su retribuzioni ricercatori a tempo determinato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73.346,00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67.030,00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34.270,00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000000" w:fill="FFFFFF"/>
            <w:vAlign w:val="center"/>
            <w:hideMark/>
          </w:tcPr>
          <w:p w:rsidR="00463979" w:rsidRPr="008731AE" w:rsidRDefault="00463979" w:rsidP="00A26F05">
            <w:pPr>
              <w:rPr>
                <w:color w:val="000000"/>
                <w:sz w:val="16"/>
                <w:szCs w:val="16"/>
              </w:rPr>
            </w:pPr>
            <w:r w:rsidRPr="008731AE">
              <w:rPr>
                <w:color w:val="000000"/>
                <w:sz w:val="16"/>
                <w:szCs w:val="16"/>
              </w:rPr>
              <w:t>CA.04.43.18.01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Missioni ed iscrizioni a convegni personale docente</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407.635,67</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152.953,54</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84.550,00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000000" w:fill="FFFFFF"/>
            <w:vAlign w:val="center"/>
            <w:hideMark/>
          </w:tcPr>
          <w:p w:rsidR="00463979" w:rsidRPr="008731AE" w:rsidRDefault="00463979" w:rsidP="00A26F05">
            <w:pPr>
              <w:rPr>
                <w:color w:val="000000"/>
                <w:sz w:val="16"/>
                <w:szCs w:val="16"/>
              </w:rPr>
            </w:pPr>
            <w:r w:rsidRPr="008731AE">
              <w:rPr>
                <w:color w:val="000000"/>
                <w:sz w:val="16"/>
                <w:szCs w:val="16"/>
              </w:rPr>
              <w:t> </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COSTI DOCENTI/RICERCATORI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24.076.872,71</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22.718.252,54</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20.960.267,00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000000" w:fill="FFFFFF"/>
            <w:vAlign w:val="center"/>
            <w:hideMark/>
          </w:tcPr>
          <w:p w:rsidR="00463979" w:rsidRPr="008731AE" w:rsidRDefault="00463979" w:rsidP="00A26F05">
            <w:pPr>
              <w:rPr>
                <w:color w:val="000000"/>
                <w:sz w:val="16"/>
                <w:szCs w:val="16"/>
              </w:rPr>
            </w:pPr>
            <w:r w:rsidRPr="008731AE">
              <w:rPr>
                <w:color w:val="000000"/>
                <w:sz w:val="16"/>
                <w:szCs w:val="16"/>
              </w:rPr>
              <w:t>CA.04.41.10.07.01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Co.co.co. scientifiche e di supporto alla ricerca</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958.782,00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338.000,00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266.000,00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000000" w:fill="FFFFFF"/>
            <w:vAlign w:val="center"/>
            <w:hideMark/>
          </w:tcPr>
          <w:p w:rsidR="00463979" w:rsidRPr="008731AE" w:rsidRDefault="00463979" w:rsidP="00A26F05">
            <w:pPr>
              <w:rPr>
                <w:color w:val="000000"/>
                <w:sz w:val="16"/>
                <w:szCs w:val="16"/>
              </w:rPr>
            </w:pPr>
            <w:r w:rsidRPr="008731AE">
              <w:rPr>
                <w:color w:val="000000"/>
                <w:sz w:val="16"/>
                <w:szCs w:val="16"/>
              </w:rPr>
              <w:t>CA.04.41.10.08.01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Collaborazioni esterne scientifiche di tipo occasionale</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392.520,00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000000" w:fill="FFFFFF"/>
            <w:vAlign w:val="center"/>
            <w:hideMark/>
          </w:tcPr>
          <w:p w:rsidR="00463979" w:rsidRPr="008731AE" w:rsidRDefault="00463979" w:rsidP="00A26F05">
            <w:pPr>
              <w:rPr>
                <w:color w:val="000000"/>
                <w:sz w:val="16"/>
                <w:szCs w:val="16"/>
              </w:rPr>
            </w:pPr>
            <w:r w:rsidRPr="008731AE">
              <w:rPr>
                <w:color w:val="000000"/>
                <w:sz w:val="16"/>
                <w:szCs w:val="16"/>
              </w:rPr>
              <w:t>CA.04.43.08.03.01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Assegni di ricerca</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2.273.920,50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165.000,00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165.000,00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000000" w:fill="FFFFFF"/>
            <w:vAlign w:val="center"/>
            <w:hideMark/>
          </w:tcPr>
          <w:p w:rsidR="00463979" w:rsidRPr="008731AE" w:rsidRDefault="00463979" w:rsidP="00A26F05">
            <w:pPr>
              <w:rPr>
                <w:color w:val="000000"/>
                <w:sz w:val="16"/>
                <w:szCs w:val="16"/>
              </w:rPr>
            </w:pPr>
            <w:r w:rsidRPr="008731AE">
              <w:rPr>
                <w:color w:val="000000"/>
                <w:sz w:val="16"/>
                <w:szCs w:val="16"/>
              </w:rPr>
              <w:t>CA.04.43.08.03.02</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Oneri previdenziali a carico Ente su assegni di ricerca</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4.224,53</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r>
      <w:tr w:rsidR="00463979" w:rsidRPr="008731AE" w:rsidTr="00A26F05">
        <w:trPr>
          <w:trHeight w:val="450"/>
        </w:trPr>
        <w:tc>
          <w:tcPr>
            <w:tcW w:w="1640" w:type="dxa"/>
            <w:tcBorders>
              <w:top w:val="nil"/>
              <w:left w:val="single" w:sz="4" w:space="0" w:color="auto"/>
              <w:bottom w:val="single" w:sz="4" w:space="0" w:color="auto"/>
              <w:right w:val="single" w:sz="4" w:space="0" w:color="auto"/>
            </w:tcBorders>
            <w:shd w:val="clear" w:color="000000" w:fill="FFFFFF"/>
            <w:vAlign w:val="center"/>
            <w:hideMark/>
          </w:tcPr>
          <w:p w:rsidR="00463979" w:rsidRPr="008731AE" w:rsidRDefault="00463979" w:rsidP="00A26F05">
            <w:pPr>
              <w:rPr>
                <w:color w:val="000000"/>
                <w:sz w:val="16"/>
                <w:szCs w:val="16"/>
              </w:rPr>
            </w:pPr>
            <w:r w:rsidRPr="008731AE">
              <w:rPr>
                <w:color w:val="000000"/>
                <w:sz w:val="16"/>
                <w:szCs w:val="16"/>
              </w:rPr>
              <w:t> </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COSTI COLLABORAZIONI SCIENTIFICHE</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3.629.447,03</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503.000,00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431.000,00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000000" w:fill="FFFFFF"/>
            <w:vAlign w:val="center"/>
            <w:hideMark/>
          </w:tcPr>
          <w:p w:rsidR="00463979" w:rsidRPr="008731AE" w:rsidRDefault="00463979" w:rsidP="00A26F05">
            <w:pPr>
              <w:rPr>
                <w:color w:val="000000"/>
                <w:sz w:val="16"/>
                <w:szCs w:val="16"/>
              </w:rPr>
            </w:pPr>
            <w:r w:rsidRPr="008731AE">
              <w:rPr>
                <w:color w:val="000000"/>
                <w:sz w:val="16"/>
                <w:szCs w:val="16"/>
              </w:rPr>
              <w:t>CA.04.43.08.06.01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Docenti a contratto art. 23 L. 240/10</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151.000,00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151.000,00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151.000,00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000000" w:fill="FFFFFF"/>
            <w:vAlign w:val="center"/>
            <w:hideMark/>
          </w:tcPr>
          <w:p w:rsidR="00463979" w:rsidRPr="008731AE" w:rsidRDefault="00463979" w:rsidP="00A26F05">
            <w:pPr>
              <w:rPr>
                <w:color w:val="000000"/>
                <w:sz w:val="16"/>
                <w:szCs w:val="16"/>
              </w:rPr>
            </w:pPr>
            <w:r w:rsidRPr="008731AE">
              <w:rPr>
                <w:color w:val="000000"/>
                <w:sz w:val="16"/>
                <w:szCs w:val="16"/>
              </w:rPr>
              <w:t>CA.04.43.08.06.02</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Oneri previdenziali a carico ente per docenti a contratto art. 23 L. 240/10</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59.000,00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59.000,00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59.000,00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000000" w:fill="FFFFFF"/>
            <w:vAlign w:val="center"/>
            <w:hideMark/>
          </w:tcPr>
          <w:p w:rsidR="00463979" w:rsidRPr="008731AE" w:rsidRDefault="00463979" w:rsidP="00A26F05">
            <w:pPr>
              <w:rPr>
                <w:color w:val="000000"/>
                <w:sz w:val="16"/>
                <w:szCs w:val="16"/>
              </w:rPr>
            </w:pPr>
            <w:r w:rsidRPr="008731AE">
              <w:rPr>
                <w:color w:val="000000"/>
                <w:sz w:val="16"/>
                <w:szCs w:val="16"/>
              </w:rPr>
              <w:t>CA.04.43.08.06.03</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Oneri irap per docenti a contratto art. 23 L. 240/10</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20.000,00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20.000,00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20.000,00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000000" w:fill="FFFFFF"/>
            <w:vAlign w:val="center"/>
            <w:hideMark/>
          </w:tcPr>
          <w:p w:rsidR="00463979" w:rsidRPr="008731AE" w:rsidRDefault="00463979" w:rsidP="00A26F05">
            <w:pPr>
              <w:rPr>
                <w:color w:val="000000"/>
                <w:sz w:val="16"/>
                <w:szCs w:val="16"/>
              </w:rPr>
            </w:pPr>
            <w:r w:rsidRPr="008731AE">
              <w:rPr>
                <w:color w:val="000000"/>
                <w:sz w:val="16"/>
                <w:szCs w:val="16"/>
              </w:rPr>
              <w:t> </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COSTI DOCENTI A CONTRATTO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230.000,00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230.000,00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230.000,00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000000" w:fill="FFFFFF"/>
            <w:vAlign w:val="center"/>
            <w:hideMark/>
          </w:tcPr>
          <w:p w:rsidR="00463979" w:rsidRPr="008731AE" w:rsidRDefault="00463979" w:rsidP="00A26F05">
            <w:pPr>
              <w:rPr>
                <w:color w:val="000000"/>
                <w:sz w:val="16"/>
                <w:szCs w:val="16"/>
              </w:rPr>
            </w:pPr>
            <w:r w:rsidRPr="008731AE">
              <w:rPr>
                <w:color w:val="000000"/>
                <w:sz w:val="16"/>
                <w:szCs w:val="16"/>
              </w:rPr>
              <w:t>CA.04.41.10.04.01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Contratti di supporto alla didattica</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9.000,00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9.000,00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9.000,00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000000" w:fill="FFFFFF"/>
            <w:vAlign w:val="center"/>
            <w:hideMark/>
          </w:tcPr>
          <w:p w:rsidR="00463979" w:rsidRPr="008731AE" w:rsidRDefault="00463979" w:rsidP="00A26F05">
            <w:pPr>
              <w:rPr>
                <w:color w:val="000000"/>
                <w:sz w:val="16"/>
                <w:szCs w:val="16"/>
              </w:rPr>
            </w:pPr>
            <w:r w:rsidRPr="008731AE">
              <w:rPr>
                <w:color w:val="000000"/>
                <w:sz w:val="16"/>
                <w:szCs w:val="16"/>
              </w:rPr>
              <w:t>CA.04.41.10.05.03</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Compensi e soggiorno esperti e relatori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7.000,00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7.000,00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7.000,00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000000" w:fill="FFFFFF"/>
            <w:vAlign w:val="center"/>
            <w:hideMark/>
          </w:tcPr>
          <w:p w:rsidR="00463979" w:rsidRPr="008731AE" w:rsidRDefault="00463979" w:rsidP="00A26F05">
            <w:pPr>
              <w:rPr>
                <w:color w:val="000000"/>
                <w:sz w:val="16"/>
                <w:szCs w:val="16"/>
              </w:rPr>
            </w:pPr>
            <w:r w:rsidRPr="008731AE">
              <w:rPr>
                <w:color w:val="000000"/>
                <w:sz w:val="16"/>
                <w:szCs w:val="16"/>
              </w:rPr>
              <w:t>CA.04.41.10.10.02</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Rimborsi spese di missione - trasferta all'estero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000000" w:fill="FFFFFF"/>
            <w:vAlign w:val="center"/>
            <w:hideMark/>
          </w:tcPr>
          <w:p w:rsidR="00463979" w:rsidRPr="008731AE" w:rsidRDefault="00463979" w:rsidP="00A26F05">
            <w:pPr>
              <w:rPr>
                <w:color w:val="000000"/>
                <w:sz w:val="16"/>
                <w:szCs w:val="16"/>
              </w:rPr>
            </w:pPr>
            <w:r w:rsidRPr="008731AE">
              <w:rPr>
                <w:color w:val="000000"/>
                <w:sz w:val="16"/>
                <w:szCs w:val="16"/>
              </w:rPr>
              <w:t>CA.04.41.10.14</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Altri rimborsi a personale esterno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6.500,00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000000" w:fill="FFFFFF"/>
            <w:vAlign w:val="center"/>
            <w:hideMark/>
          </w:tcPr>
          <w:p w:rsidR="00463979" w:rsidRPr="008731AE" w:rsidRDefault="00463979" w:rsidP="00A26F05">
            <w:pPr>
              <w:rPr>
                <w:color w:val="000000"/>
                <w:sz w:val="16"/>
                <w:szCs w:val="16"/>
              </w:rPr>
            </w:pPr>
            <w:r w:rsidRPr="008731AE">
              <w:rPr>
                <w:color w:val="000000"/>
                <w:sz w:val="16"/>
                <w:szCs w:val="16"/>
              </w:rPr>
              <w:t>CA.04.43.08.05.01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Contratti docenti master</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57.040,30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r>
      <w:tr w:rsidR="00463979" w:rsidRPr="008731AE" w:rsidTr="00A26F05">
        <w:trPr>
          <w:trHeight w:val="42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63979" w:rsidRPr="008731AE" w:rsidRDefault="00463979" w:rsidP="00A26F05">
            <w:pPr>
              <w:rPr>
                <w:sz w:val="16"/>
                <w:szCs w:val="16"/>
              </w:rPr>
            </w:pPr>
            <w:r w:rsidRPr="008731AE">
              <w:rPr>
                <w:sz w:val="16"/>
                <w:szCs w:val="16"/>
              </w:rPr>
              <w:t> </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COSTI ALTRO PERSONALE DIDATTICA/RICERCA</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80.540,30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18.000,00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17.000,00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CA.04.43.03.01.01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Stipendi ed altri assegni fissi ai dirigenti e personale tecnico-amministrativo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6.924.907,00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6.831.699,00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6.675.493,00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CA.04.43.03.01.02</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Oneri previdenziali a carico Ente su assegni fissi dirigenti e personale tecnico-amministrativo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2.141.150,00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2.110.330,00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2.062.595,00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CA.04.43.03.01.03</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Oneri IRAP su assegni fissi dirigenti e personale tecnico-amministrativo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573.376,00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565.515,00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552.238,00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CA.04.43.05.01.01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Altre competenze ai dirigenti e al personale tecnico amministrativo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103.686,49</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54.283,63</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24.191,82</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CA.04.43.05.01.03</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Oneri IRAP su altre competenze ai dirigenti e personale tecnico-amministrativo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9.673,88</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1.882,65</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941,32</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CA.04.43.05.02.01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Competenze personale tecnico amministrativo per prestazioni conto terzi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61.321,13</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13.050,00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9.600,00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lastRenderedPageBreak/>
              <w:t>CA.04.43.09.02.01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Direttore e dirigenti a tempo determinato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197.865,00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180.062,00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117.599,00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CA.04.43.09.02.02</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Oneri previdenziali a carico Ente su retribuzioni Direttore e dirigenti a tempo determinato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62.179,00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56.505,00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36.596,00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CA.04.43.09.02.03</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Oneri IRAP su retribuzioni Direttore e dirigenti a tempo determinato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17.120,00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15.578,00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10.167,00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CA.04.43.13.02.01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Competenze dirigenti e personale tecnico amministrativo T.D. per prestazioni conto terzi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3.500,00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CA.04.43.15.01.01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Lavoro straordinario personale tecnico-amministrativo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37.000,00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33.000,00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33.000,00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CA.04.43.15.01.02</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Servizio buoni pasto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150.000,00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150.000,00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150.000,00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CA.04.43.15.01.03</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Fondo per il trattamento accessorio cat. B/C/D</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356.000,00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362.000,00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362.000,00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CA.04.43.15.01.04</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Fondo per la retribuzione di posizione e di risultato della categoria EP</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232.000,00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232.000,00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23.200,00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CA.04.43.15.01.05</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Indennità di posizione e risultato dirigenti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38.138,00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38.138,00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38.138,00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CA.04.43.15.01.06</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Oneri previdenziali a carico Ente su competenze accessorie al personale tecnico amministrativo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11.036,00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11.036,00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11.036,00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CA.04.43.15.01.07</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Oneri IRAP su competenze accessorie al personale tecnico amministrativo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3.243,00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3.243,00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3.243,00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CA.04.43.18.02</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Missioni e rimborsi spese di trasferta personale tecnico amministrativo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58.897,52</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43.400,00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40.500,00</w:t>
            </w:r>
          </w:p>
        </w:tc>
      </w:tr>
      <w:tr w:rsidR="00463979" w:rsidRPr="008731AE" w:rsidTr="00A26F05">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63979" w:rsidRPr="008731AE" w:rsidRDefault="00463979" w:rsidP="00A26F05">
            <w:pPr>
              <w:rPr>
                <w:sz w:val="16"/>
                <w:szCs w:val="16"/>
              </w:rPr>
            </w:pPr>
            <w:r w:rsidRPr="008731AE">
              <w:rPr>
                <w:sz w:val="16"/>
                <w:szCs w:val="16"/>
              </w:rPr>
              <w:t> </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COSTI PERSONALE DIRIGENTE E TAB</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10.981.093,02</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10.701.722,28</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10.150.538,14</w:t>
            </w:r>
          </w:p>
        </w:tc>
      </w:tr>
      <w:tr w:rsidR="00463979" w:rsidRPr="008731AE" w:rsidTr="00A26F05">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63979" w:rsidRPr="008731AE" w:rsidRDefault="00463979" w:rsidP="00A26F05">
            <w:pPr>
              <w:rPr>
                <w:sz w:val="16"/>
                <w:szCs w:val="16"/>
              </w:rPr>
            </w:pPr>
            <w:r w:rsidRPr="008731AE">
              <w:rPr>
                <w:sz w:val="16"/>
                <w:szCs w:val="16"/>
              </w:rPr>
              <w:t> </w:t>
            </w:r>
          </w:p>
        </w:tc>
        <w:tc>
          <w:tcPr>
            <w:tcW w:w="3460" w:type="dxa"/>
            <w:tcBorders>
              <w:top w:val="nil"/>
              <w:left w:val="nil"/>
              <w:bottom w:val="single" w:sz="4" w:space="0" w:color="auto"/>
              <w:right w:val="single" w:sz="4" w:space="0" w:color="auto"/>
            </w:tcBorders>
            <w:shd w:val="clear" w:color="000000" w:fill="D9D9D9"/>
            <w:vAlign w:val="center"/>
            <w:hideMark/>
          </w:tcPr>
          <w:p w:rsidR="00463979" w:rsidRPr="008731AE" w:rsidRDefault="00463979" w:rsidP="00A26F05">
            <w:pPr>
              <w:jc w:val="right"/>
              <w:rPr>
                <w:b/>
                <w:bCs/>
                <w:color w:val="000000"/>
                <w:sz w:val="16"/>
                <w:szCs w:val="16"/>
              </w:rPr>
            </w:pPr>
            <w:r w:rsidRPr="008731AE">
              <w:rPr>
                <w:b/>
                <w:bCs/>
                <w:color w:val="000000"/>
                <w:sz w:val="16"/>
                <w:szCs w:val="16"/>
              </w:rPr>
              <w:t>TOTALE COSTI DEL PERSONALE</w:t>
            </w:r>
          </w:p>
        </w:tc>
        <w:tc>
          <w:tcPr>
            <w:tcW w:w="1760" w:type="dxa"/>
            <w:tcBorders>
              <w:top w:val="nil"/>
              <w:left w:val="nil"/>
              <w:bottom w:val="single" w:sz="4" w:space="0" w:color="auto"/>
              <w:right w:val="single" w:sz="4" w:space="0" w:color="auto"/>
            </w:tcBorders>
            <w:shd w:val="clear" w:color="000000" w:fill="D9D9D9"/>
            <w:vAlign w:val="center"/>
            <w:hideMark/>
          </w:tcPr>
          <w:p w:rsidR="00463979" w:rsidRPr="008731AE" w:rsidRDefault="00463979" w:rsidP="00A26F05">
            <w:pPr>
              <w:jc w:val="right"/>
              <w:rPr>
                <w:b/>
                <w:bCs/>
                <w:color w:val="000000"/>
                <w:sz w:val="16"/>
                <w:szCs w:val="16"/>
              </w:rPr>
            </w:pPr>
            <w:r w:rsidRPr="008731AE">
              <w:rPr>
                <w:b/>
                <w:bCs/>
                <w:color w:val="000000"/>
                <w:sz w:val="16"/>
                <w:szCs w:val="16"/>
              </w:rPr>
              <w:t>38.997.953,06</w:t>
            </w:r>
          </w:p>
        </w:tc>
        <w:tc>
          <w:tcPr>
            <w:tcW w:w="1560" w:type="dxa"/>
            <w:tcBorders>
              <w:top w:val="nil"/>
              <w:left w:val="nil"/>
              <w:bottom w:val="single" w:sz="4" w:space="0" w:color="auto"/>
              <w:right w:val="single" w:sz="4" w:space="0" w:color="auto"/>
            </w:tcBorders>
            <w:shd w:val="clear" w:color="000000" w:fill="D9D9D9"/>
            <w:vAlign w:val="center"/>
            <w:hideMark/>
          </w:tcPr>
          <w:p w:rsidR="00463979" w:rsidRPr="008731AE" w:rsidRDefault="00463979" w:rsidP="00A26F05">
            <w:pPr>
              <w:jc w:val="right"/>
              <w:rPr>
                <w:b/>
                <w:bCs/>
                <w:color w:val="000000"/>
                <w:sz w:val="16"/>
                <w:szCs w:val="16"/>
              </w:rPr>
            </w:pPr>
            <w:r w:rsidRPr="008731AE">
              <w:rPr>
                <w:b/>
                <w:bCs/>
                <w:color w:val="000000"/>
                <w:sz w:val="16"/>
                <w:szCs w:val="16"/>
              </w:rPr>
              <w:t>34.170.974,82</w:t>
            </w:r>
          </w:p>
        </w:tc>
        <w:tc>
          <w:tcPr>
            <w:tcW w:w="1520" w:type="dxa"/>
            <w:tcBorders>
              <w:top w:val="nil"/>
              <w:left w:val="nil"/>
              <w:bottom w:val="single" w:sz="4" w:space="0" w:color="auto"/>
              <w:right w:val="single" w:sz="4" w:space="0" w:color="auto"/>
            </w:tcBorders>
            <w:shd w:val="clear" w:color="000000" w:fill="D9D9D9"/>
            <w:vAlign w:val="center"/>
            <w:hideMark/>
          </w:tcPr>
          <w:p w:rsidR="00463979" w:rsidRPr="008731AE" w:rsidRDefault="00463979" w:rsidP="00A26F05">
            <w:pPr>
              <w:jc w:val="right"/>
              <w:rPr>
                <w:b/>
                <w:bCs/>
                <w:color w:val="000000"/>
                <w:sz w:val="16"/>
                <w:szCs w:val="16"/>
              </w:rPr>
            </w:pPr>
            <w:r w:rsidRPr="008731AE">
              <w:rPr>
                <w:b/>
                <w:bCs/>
                <w:color w:val="000000"/>
                <w:sz w:val="16"/>
                <w:szCs w:val="16"/>
              </w:rPr>
              <w:t>31.788.805,14</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CA.04.46.05.04.01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Borse di studio dottorato ricerca</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2.070.520,00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1.675.760,00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1.108.060,00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CA.04.46.05.05.01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Borse di studio su attività di ricerca</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78.582,00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CA.04.46.05.07</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Borse di studio ERASMUS - integrazione Ateneo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107.000,00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CA.04.46.05.08</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Borse di studio SOCRATES/ERASMUS</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316.392,80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150.000,00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150.000,00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CA.04.46.05.09</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Borse di studio ERASMUS - integrazione DM 198/03</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272.800,00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280.000,00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290.000,00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CA.04.46.05.10</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Borse di studio ERASMUS PLACEMENT</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48.200,00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CA.04.46.05.11.01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Altre borse di studio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508.630,00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281.000,00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26.000,00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CA.04.46.05.11.02</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Oneri IRAP altre borse</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CA.04.46.05.14</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Altre borse esenti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24.404,20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CA.04.46.06.01.01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Tutorato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30.000,00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30.000,00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30.000,00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CA.04.46.06.01.03</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Tutorato didattico - DM 198/2003</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50.000,00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50.000,00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50.000,00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CA.04.46.06.01.06</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Oneri INPS/INAIL  tutorato didattico DM 198/03</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13.000,00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13.000,00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13.500,00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CA.04.46.07.01.01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Mobilità dottorati di ricerca</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CA.04.46.07.01.07</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Missioni e quote iscrizione dottorandi e altri borsisti/studenti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148.180,00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103.680,00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72.000,00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63979" w:rsidRPr="008731AE" w:rsidRDefault="00463979" w:rsidP="00A26F05">
            <w:pPr>
              <w:rPr>
                <w:sz w:val="16"/>
                <w:szCs w:val="16"/>
              </w:rPr>
            </w:pPr>
            <w:r w:rsidRPr="008731AE">
              <w:rPr>
                <w:sz w:val="16"/>
                <w:szCs w:val="16"/>
              </w:rPr>
              <w:t> </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COSTI PER IL SOSTEGNO AGLI STUDENTI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3.670.009,00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2.601.940,00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1.743.060,00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CA.04.46.08.01.02</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Premio di studio e di laurea</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1.814,00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1.814,00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CA.04.46.08.01.03</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Attività sportive</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85.000,00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85.000,00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85.000,00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lastRenderedPageBreak/>
              <w:t>CA.04.46.08.01.04</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Part-time (art. 13 L. 390/91)</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200.000,00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200.000,00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200.000,00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CA.04.46.08.01.05</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Contributi dottorati di ricerca in consorzio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100.000,00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CA.04.46.08.01.07</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Altri interventi a favore di studenti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304.000,00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187.500,00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186.000,00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CA.04.46.08.02.01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Iniziative e attività culturali gestite dagli studenti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16.500,00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16.500,00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16.500,00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CA.04.46.08.03.01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Interventi per il diritto allo studio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305.000,00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305.000,00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305.000,00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63979" w:rsidRPr="008731AE" w:rsidRDefault="00463979" w:rsidP="00A26F05">
            <w:pPr>
              <w:rPr>
                <w:sz w:val="16"/>
                <w:szCs w:val="16"/>
              </w:rPr>
            </w:pPr>
            <w:r w:rsidRPr="008731AE">
              <w:rPr>
                <w:sz w:val="16"/>
                <w:szCs w:val="16"/>
              </w:rPr>
              <w:t> </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COSTI PER IL DIRITTO ALLO STUDIO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1.011.500,00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795.814,00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794.314,00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CA.04.41.03.01.01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Spese per convegni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189.636,63</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10.000,00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5.000,00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CA.04.41.03.01.02</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Compensi e soggiorno esperti e relatori convegni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5.000,00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5.000,00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5.000,00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63979" w:rsidRPr="008731AE" w:rsidRDefault="00463979" w:rsidP="00A26F05">
            <w:pPr>
              <w:rPr>
                <w:sz w:val="16"/>
                <w:szCs w:val="16"/>
              </w:rPr>
            </w:pPr>
            <w:r w:rsidRPr="008731AE">
              <w:rPr>
                <w:sz w:val="16"/>
                <w:szCs w:val="16"/>
              </w:rPr>
              <w:t> </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COSTI PER RICERCA E ATTIVITA' EDITORIALE</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194.636,63</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15.000,00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10.000,00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CA.04.46.03.07</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Trasferimento quota partners progetti ricerca</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95.000,00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63979" w:rsidRPr="008731AE" w:rsidRDefault="00463979" w:rsidP="00A26F05">
            <w:pPr>
              <w:rPr>
                <w:sz w:val="16"/>
                <w:szCs w:val="16"/>
              </w:rPr>
            </w:pPr>
            <w:r w:rsidRPr="008731AE">
              <w:rPr>
                <w:sz w:val="16"/>
                <w:szCs w:val="16"/>
              </w:rPr>
              <w:t> </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TRASFERIMENTI A PARTNER</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95.000,00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CA.04.40.01.02</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Materiali di consumo per laboratori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70.554,55</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31.879,05</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10.000,00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63979" w:rsidRPr="008731AE" w:rsidRDefault="00463979" w:rsidP="00A26F05">
            <w:pPr>
              <w:rPr>
                <w:sz w:val="16"/>
                <w:szCs w:val="16"/>
              </w:rPr>
            </w:pPr>
            <w:r w:rsidRPr="008731AE">
              <w:rPr>
                <w:sz w:val="16"/>
                <w:szCs w:val="16"/>
              </w:rPr>
              <w:t> </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COSTI PER MATERIALE DI LABORATORIO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70.554,55</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31.879,05</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10.000,00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CA.04.40.03.01.01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Libri, riviste e giornali (spesati nell'anno)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129.405,00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121.500,00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121.500,00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CA.04.40.03.01.02</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Riviste biblioteca formato elettronico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101.000,00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31.000,00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31.000,00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CA.04.40.03.01.03</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Acquisto banche dati on line e su Cd Rom</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274.750,00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283.806,00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295.000,00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CA.04.40.03.01.04</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Riviste biblioteca</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5.000,00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5.000,00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5.000,00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CA.04.40.03.01.05</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Estratti e reprints articoli scientifici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8.500,00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9.000,00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8.000,00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63979" w:rsidRPr="008731AE" w:rsidRDefault="00463979" w:rsidP="00A26F05">
            <w:pPr>
              <w:rPr>
                <w:sz w:val="16"/>
                <w:szCs w:val="16"/>
              </w:rPr>
            </w:pPr>
            <w:r w:rsidRPr="008731AE">
              <w:rPr>
                <w:sz w:val="16"/>
                <w:szCs w:val="16"/>
              </w:rPr>
              <w:t> </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COSTI PER ACQUISTO LIBRI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518.655,00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450.306,00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460.500,00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CA.04.41.04.02</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Servizi fotocomposizione, stampa e legatoria per pubblicazioni d'ateneo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26.910,00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16.580,00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16.600,00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CA.04.41.04.03</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Altre spese per servizi tecnici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7.290,81</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6.000,00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6.000,00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CA.04.41.05.02</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Appalto smaltimento rifiuti speciali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CA.04.41.05.04</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Altri servizi in appalto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3.696.781,63</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3.806.635,08</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3.919.784,14</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CA.04.41.07.01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Premi di assicurazione</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293.280,00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290.000,00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290.000,00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CA.04.41.07.02</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Spese postali e telegrafiche</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15.400,00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15.400,00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15.400,00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CA.04.41.07.04</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Spese per telefonia fissa</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70.000,00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70.000,00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70.000,00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CA.04.41.07.05</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Spese per telefonia mobile</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30.500,00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30.000,00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30.000,00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CA.04.41.07.06</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Canoni trasmissione dati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97.000,00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97.000,00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97.000,00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CA.04.41.07.07</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Trasporti, facchinaggi e competenze spedizionieri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38.548,39</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CA.04.41.07.08</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Altre spese per servizi generali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257.830,00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64.112,50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60.512,50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CA.04.41.08.01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Consulenze tecniche</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127.875,74</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59.778,15</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41.340,00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lastRenderedPageBreak/>
              <w:t>CA.04.41.08.03</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Consulenze legali, amministrative, certificazione</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50.000,00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50.000,00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50.000,00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CA.04.41.08.04</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Spese legali e notarili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55.000,00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55.000,00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60.000,00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CA.04.41.08.05</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Oneri per soccombenze legali e giudiziarie</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50.000,00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55.000,00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60.000,00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CA.04.41.09.01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Prestazioni di servizi tecnico/amministrativi da enti terzi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1.520.358,20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1.334.614,20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1.312.014,20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CA.04.41.09.03</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Altre prestazioni e servizi da terzi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14.944,77</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1.100,00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1.100,00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CA.04.41.09.04</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Spese correnti per brevetti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26.055,00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6.113,00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8.558,00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CA.04.41.09.05</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Servizio di prestito interbibliotecario e riproduzione di materiale bibliografico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CA.04.41.10.01.01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Co.co.co di tipo gestionale</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62.222,24</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30.000,00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30.000,00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CA.04.41.10.02.01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Prestazioni di lavoro autonomo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245.600,00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41.580,00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24.000,00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CA.04.43.18.04</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Aggiornamento professionale</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85.675,00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70.000,00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70.000,00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63979" w:rsidRPr="008731AE" w:rsidRDefault="00463979" w:rsidP="00A26F05">
            <w:pPr>
              <w:rPr>
                <w:sz w:val="16"/>
                <w:szCs w:val="16"/>
              </w:rPr>
            </w:pPr>
            <w:r w:rsidRPr="008731AE">
              <w:rPr>
                <w:sz w:val="16"/>
                <w:szCs w:val="16"/>
              </w:rPr>
              <w:t> </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ACQUISTO SERVIZI E COLLABORAZIONI GESTIONALI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6.773.271,78</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6.117.912,93</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6.181.308,84</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CA.04.40.01.01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Cancelleria e altri materiali di consumo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350.034,92</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176.930,05</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161.014,00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CA.04.40.02.01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Acquisto materie prime</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91.617,34</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50.000,00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CA.04.40.04.01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Acquisto beni strumentali (&lt; 516¿)</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31.815,30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25.500,00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25.500,00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CA.04.40.04.02</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Acquisto software per PC (spesati nell'anno)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1.900,00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1.700,00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63979" w:rsidRPr="008731AE" w:rsidRDefault="00463979" w:rsidP="00A26F05">
            <w:pPr>
              <w:rPr>
                <w:sz w:val="16"/>
                <w:szCs w:val="16"/>
              </w:rPr>
            </w:pPr>
            <w:r w:rsidRPr="008731AE">
              <w:rPr>
                <w:sz w:val="16"/>
                <w:szCs w:val="16"/>
              </w:rPr>
              <w:t> </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COSTI PER ALTRI MATERIALI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475.367,56</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254.130,05</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187.514,00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CA.04.42.01.03</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Noleggi e spese accessorie</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68.320,00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68.320,00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71.320,00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63979" w:rsidRPr="008731AE" w:rsidRDefault="00463979" w:rsidP="00A26F05">
            <w:pPr>
              <w:rPr>
                <w:sz w:val="16"/>
                <w:szCs w:val="16"/>
              </w:rPr>
            </w:pPr>
            <w:r w:rsidRPr="008731AE">
              <w:rPr>
                <w:sz w:val="16"/>
                <w:szCs w:val="16"/>
              </w:rPr>
              <w:t> </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COSTI PER GODIMENTO BENI DI TERZI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68.320,00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68.320,00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71.320,00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CA.04.41.01.01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Manutenzione ordinaria di immobili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263.000,00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163.000,00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163.000,00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CA.04.41.01.02</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Manutenzione ordinaria e riparazioni di apparecchiature</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86.350,00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74.375,00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73.500,00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CA.04.41.01.03</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Manutenzione automezzi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2.500,00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2.500,00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2.500,00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CA.04.41.01.04</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Altre spese di manutenzione ordinaria e riparazioni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10.000,00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10.000,00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10.000,00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CA.04.41.01.05</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Manutenzione software</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9.000,00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9.000,00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9.000,00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CA.04.41.01.07</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Manutenzione ordinaria e riparazione impianti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171.500,00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21.500,00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21.500,00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CA.04.41.01.08</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Manutenzione ordinaria aree verdi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22.000,00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CA.04.41.06.01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Energia elettrica</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100.000,00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CA.04.41.06.03</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Acqua</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150.000,00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150.000,00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150.000,00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CA.04.41.06.04</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Benzina e gasolio per autotrazione</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15.500,00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15.500,00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15.500,00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CA.04.43.18.03</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Missioni e rimborsi spese degli organi istituzionali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25.000,00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25.000,00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25.000,00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CA.04.43.18.05</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Concorsi e esami di stato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367.000,00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299.000,00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149.000,00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CA.04.43.18.09</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Mobilità docenti - scambi culturali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112.000,00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lastRenderedPageBreak/>
              <w:t>CA.04.43.18.11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Interventi formativi in materia di sicurezza sul posto di lavoro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CA.04.43.18.14</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Accertamenti sanitari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33.000,00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33.000,00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33.000,00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CA.04.43.18.15</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Formazione al personale</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19.000,00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19.000,00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19.000,00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CA.04.43.19.01</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Rimborsi personale comandato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39.454,53</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CA.04.43.19.02</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Oneri IRAP personale comandato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2.537,35</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CA.04.46.04.02</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Indennità al Collegio dei Revisori dei Conti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35.000,00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35.000,00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35.000,00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CA.04.46.04.03</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Rimborsi spese di trasferta ai Revisori dei Conti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7.000,00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7.000,00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7.000,00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CA.04.46.04.04</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Indennità ai componenti del Nucleo di Valutazione di Ateneo</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35.200,00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35.200,00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35.200,00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CA.04.46.04.05</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Rimborsi spese di trasferta ai componenti N.V.A.</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10.000,00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10.000,00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10.000,00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CA.04.46.04.06</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Indennità di carica organi accademici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152.800,00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152.800,00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152.800,00</w:t>
            </w:r>
          </w:p>
        </w:tc>
      </w:tr>
      <w:tr w:rsidR="00463979" w:rsidRPr="008731AE" w:rsidTr="00A26F05">
        <w:trPr>
          <w:trHeight w:val="40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CA.04.46.04.10</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rPr>
                <w:color w:val="000000"/>
                <w:sz w:val="16"/>
                <w:szCs w:val="16"/>
              </w:rPr>
            </w:pPr>
            <w:r w:rsidRPr="008731AE">
              <w:rPr>
                <w:color w:val="000000"/>
                <w:sz w:val="16"/>
                <w:szCs w:val="16"/>
              </w:rPr>
              <w:t>Altre spese per attività istituzionali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200.000,00</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200.000,00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color w:val="000000"/>
                <w:sz w:val="16"/>
                <w:szCs w:val="16"/>
              </w:rPr>
            </w:pPr>
            <w:r w:rsidRPr="008731AE">
              <w:rPr>
                <w:color w:val="000000"/>
                <w:sz w:val="16"/>
                <w:szCs w:val="16"/>
              </w:rPr>
              <w:t>0,00</w:t>
            </w:r>
          </w:p>
        </w:tc>
      </w:tr>
      <w:tr w:rsidR="00463979" w:rsidRPr="008731AE" w:rsidTr="00A26F05">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63979" w:rsidRPr="008731AE" w:rsidRDefault="00463979" w:rsidP="00A26F05">
            <w:pPr>
              <w:rPr>
                <w:sz w:val="16"/>
                <w:szCs w:val="16"/>
              </w:rPr>
            </w:pPr>
            <w:r w:rsidRPr="008731AE">
              <w:rPr>
                <w:sz w:val="16"/>
                <w:szCs w:val="16"/>
              </w:rPr>
              <w:t> </w:t>
            </w:r>
          </w:p>
        </w:tc>
        <w:tc>
          <w:tcPr>
            <w:tcW w:w="34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ALTRI COSTI</w:t>
            </w:r>
          </w:p>
        </w:tc>
        <w:tc>
          <w:tcPr>
            <w:tcW w:w="17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1.882.841,88</w:t>
            </w:r>
          </w:p>
        </w:tc>
        <w:tc>
          <w:tcPr>
            <w:tcW w:w="156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1.278.875,00</w:t>
            </w:r>
          </w:p>
        </w:tc>
        <w:tc>
          <w:tcPr>
            <w:tcW w:w="1520" w:type="dxa"/>
            <w:tcBorders>
              <w:top w:val="nil"/>
              <w:left w:val="nil"/>
              <w:bottom w:val="single" w:sz="4" w:space="0" w:color="auto"/>
              <w:right w:val="single" w:sz="4" w:space="0" w:color="auto"/>
            </w:tcBorders>
            <w:shd w:val="clear" w:color="auto" w:fill="auto"/>
            <w:vAlign w:val="center"/>
            <w:hideMark/>
          </w:tcPr>
          <w:p w:rsidR="00463979" w:rsidRPr="008731AE" w:rsidRDefault="00463979" w:rsidP="00A26F05">
            <w:pPr>
              <w:jc w:val="right"/>
              <w:rPr>
                <w:b/>
                <w:bCs/>
                <w:color w:val="000000"/>
                <w:sz w:val="16"/>
                <w:szCs w:val="16"/>
              </w:rPr>
            </w:pPr>
            <w:r w:rsidRPr="008731AE">
              <w:rPr>
                <w:b/>
                <w:bCs/>
                <w:color w:val="000000"/>
                <w:sz w:val="16"/>
                <w:szCs w:val="16"/>
              </w:rPr>
              <w:t>928.000,00</w:t>
            </w:r>
          </w:p>
        </w:tc>
      </w:tr>
      <w:tr w:rsidR="00463979" w:rsidRPr="008731AE" w:rsidTr="00A26F05">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63979" w:rsidRPr="008731AE" w:rsidRDefault="00463979" w:rsidP="00A26F05">
            <w:pPr>
              <w:rPr>
                <w:sz w:val="16"/>
                <w:szCs w:val="16"/>
              </w:rPr>
            </w:pPr>
            <w:r w:rsidRPr="008731AE">
              <w:rPr>
                <w:sz w:val="16"/>
                <w:szCs w:val="16"/>
              </w:rPr>
              <w:t> </w:t>
            </w:r>
          </w:p>
        </w:tc>
        <w:tc>
          <w:tcPr>
            <w:tcW w:w="3460" w:type="dxa"/>
            <w:tcBorders>
              <w:top w:val="nil"/>
              <w:left w:val="nil"/>
              <w:bottom w:val="single" w:sz="4" w:space="0" w:color="auto"/>
              <w:right w:val="single" w:sz="4" w:space="0" w:color="auto"/>
            </w:tcBorders>
            <w:shd w:val="clear" w:color="000000" w:fill="D9D9D9"/>
            <w:vAlign w:val="center"/>
            <w:hideMark/>
          </w:tcPr>
          <w:p w:rsidR="00463979" w:rsidRPr="008731AE" w:rsidRDefault="00463979" w:rsidP="00A26F05">
            <w:pPr>
              <w:jc w:val="right"/>
              <w:rPr>
                <w:b/>
                <w:bCs/>
                <w:color w:val="000000"/>
                <w:sz w:val="16"/>
                <w:szCs w:val="16"/>
              </w:rPr>
            </w:pPr>
            <w:r w:rsidRPr="008731AE">
              <w:rPr>
                <w:b/>
                <w:bCs/>
                <w:color w:val="000000"/>
                <w:sz w:val="16"/>
                <w:szCs w:val="16"/>
              </w:rPr>
              <w:t>TOTALE COSTI DELLA GESTIONE CORRENTE</w:t>
            </w:r>
          </w:p>
        </w:tc>
        <w:tc>
          <w:tcPr>
            <w:tcW w:w="1760" w:type="dxa"/>
            <w:tcBorders>
              <w:top w:val="nil"/>
              <w:left w:val="nil"/>
              <w:bottom w:val="single" w:sz="4" w:space="0" w:color="auto"/>
              <w:right w:val="single" w:sz="4" w:space="0" w:color="auto"/>
            </w:tcBorders>
            <w:shd w:val="clear" w:color="000000" w:fill="D9D9D9"/>
            <w:vAlign w:val="center"/>
            <w:hideMark/>
          </w:tcPr>
          <w:p w:rsidR="00463979" w:rsidRPr="008731AE" w:rsidRDefault="00463979" w:rsidP="00A26F05">
            <w:pPr>
              <w:jc w:val="right"/>
              <w:rPr>
                <w:b/>
                <w:bCs/>
                <w:color w:val="000000"/>
                <w:sz w:val="16"/>
                <w:szCs w:val="16"/>
              </w:rPr>
            </w:pPr>
            <w:r w:rsidRPr="008731AE">
              <w:rPr>
                <w:b/>
                <w:bCs/>
                <w:color w:val="000000"/>
                <w:sz w:val="16"/>
                <w:szCs w:val="16"/>
              </w:rPr>
              <w:t>14.760.156,40</w:t>
            </w:r>
          </w:p>
        </w:tc>
        <w:tc>
          <w:tcPr>
            <w:tcW w:w="1560" w:type="dxa"/>
            <w:tcBorders>
              <w:top w:val="nil"/>
              <w:left w:val="nil"/>
              <w:bottom w:val="single" w:sz="4" w:space="0" w:color="auto"/>
              <w:right w:val="single" w:sz="4" w:space="0" w:color="auto"/>
            </w:tcBorders>
            <w:shd w:val="clear" w:color="000000" w:fill="D9D9D9"/>
            <w:vAlign w:val="center"/>
            <w:hideMark/>
          </w:tcPr>
          <w:p w:rsidR="00463979" w:rsidRPr="008731AE" w:rsidRDefault="00463979" w:rsidP="00A26F05">
            <w:pPr>
              <w:jc w:val="right"/>
              <w:rPr>
                <w:b/>
                <w:bCs/>
                <w:color w:val="000000"/>
                <w:sz w:val="16"/>
                <w:szCs w:val="16"/>
              </w:rPr>
            </w:pPr>
            <w:r w:rsidRPr="008731AE">
              <w:rPr>
                <w:b/>
                <w:bCs/>
                <w:color w:val="000000"/>
                <w:sz w:val="16"/>
                <w:szCs w:val="16"/>
              </w:rPr>
              <w:t>11.614.177,03</w:t>
            </w:r>
          </w:p>
        </w:tc>
        <w:tc>
          <w:tcPr>
            <w:tcW w:w="1520" w:type="dxa"/>
            <w:tcBorders>
              <w:top w:val="nil"/>
              <w:left w:val="nil"/>
              <w:bottom w:val="single" w:sz="4" w:space="0" w:color="auto"/>
              <w:right w:val="single" w:sz="4" w:space="0" w:color="auto"/>
            </w:tcBorders>
            <w:shd w:val="clear" w:color="000000" w:fill="D9D9D9"/>
            <w:vAlign w:val="center"/>
            <w:hideMark/>
          </w:tcPr>
          <w:p w:rsidR="00463979" w:rsidRPr="008731AE" w:rsidRDefault="00463979" w:rsidP="00A26F05">
            <w:pPr>
              <w:jc w:val="right"/>
              <w:rPr>
                <w:b/>
                <w:bCs/>
                <w:color w:val="000000"/>
                <w:sz w:val="16"/>
                <w:szCs w:val="16"/>
              </w:rPr>
            </w:pPr>
            <w:r w:rsidRPr="008731AE">
              <w:rPr>
                <w:b/>
                <w:bCs/>
                <w:color w:val="000000"/>
                <w:sz w:val="16"/>
                <w:szCs w:val="16"/>
              </w:rPr>
              <w:t>10.386.016,84</w:t>
            </w:r>
          </w:p>
        </w:tc>
      </w:tr>
    </w:tbl>
    <w:p w:rsidR="00751608" w:rsidRPr="008C4829" w:rsidRDefault="00751608" w:rsidP="00A42C50">
      <w:pPr>
        <w:jc w:val="both"/>
        <w:rPr>
          <w:b/>
          <w:color w:val="548DD4" w:themeColor="text2" w:themeTint="99"/>
          <w:sz w:val="24"/>
          <w:szCs w:val="24"/>
        </w:rPr>
      </w:pPr>
    </w:p>
    <w:p w:rsidR="00A7448C" w:rsidRDefault="00A7448C" w:rsidP="006B6188">
      <w:pPr>
        <w:ind w:firstLine="720"/>
        <w:jc w:val="both"/>
        <w:rPr>
          <w:b/>
          <w:i/>
          <w:sz w:val="24"/>
          <w:szCs w:val="24"/>
        </w:rPr>
      </w:pPr>
    </w:p>
    <w:p w:rsidR="006C761D" w:rsidRPr="00076C41" w:rsidRDefault="00E06BCF" w:rsidP="001108F0">
      <w:pPr>
        <w:pStyle w:val="Titolo3"/>
        <w:ind w:left="0"/>
        <w:jc w:val="both"/>
        <w:rPr>
          <w:i/>
        </w:rPr>
      </w:pPr>
      <w:bookmarkStart w:id="11" w:name="_Toc469659519"/>
      <w:r w:rsidRPr="00076C41">
        <w:rPr>
          <w:i/>
        </w:rPr>
        <w:t>2.2.1 Costi del personale</w:t>
      </w:r>
      <w:bookmarkEnd w:id="11"/>
    </w:p>
    <w:p w:rsidR="00E06BCF" w:rsidRDefault="00E06BCF" w:rsidP="006B6188">
      <w:pPr>
        <w:ind w:firstLine="720"/>
        <w:jc w:val="both"/>
        <w:rPr>
          <w:b/>
          <w:i/>
          <w:sz w:val="24"/>
          <w:szCs w:val="24"/>
        </w:rPr>
      </w:pPr>
    </w:p>
    <w:p w:rsidR="008E2A12" w:rsidRDefault="00E06BCF" w:rsidP="00A26F05">
      <w:pPr>
        <w:ind w:firstLine="720"/>
        <w:jc w:val="both"/>
        <w:rPr>
          <w:sz w:val="24"/>
          <w:szCs w:val="24"/>
        </w:rPr>
      </w:pPr>
      <w:r>
        <w:rPr>
          <w:sz w:val="24"/>
          <w:szCs w:val="24"/>
        </w:rPr>
        <w:t xml:space="preserve">Come può evincersi dalla </w:t>
      </w:r>
      <w:r w:rsidRPr="00222D99">
        <w:rPr>
          <w:i/>
          <w:sz w:val="24"/>
          <w:szCs w:val="24"/>
        </w:rPr>
        <w:t xml:space="preserve">Tabella </w:t>
      </w:r>
      <w:r w:rsidR="00222D99">
        <w:rPr>
          <w:i/>
          <w:sz w:val="24"/>
          <w:szCs w:val="24"/>
        </w:rPr>
        <w:t>7</w:t>
      </w:r>
      <w:r w:rsidR="00A26F05" w:rsidRPr="00222D99">
        <w:rPr>
          <w:sz w:val="24"/>
          <w:szCs w:val="24"/>
        </w:rPr>
        <w:t xml:space="preserve">, i </w:t>
      </w:r>
      <w:r w:rsidR="00A26F05" w:rsidRPr="00A26F05">
        <w:rPr>
          <w:sz w:val="24"/>
          <w:szCs w:val="24"/>
        </w:rPr>
        <w:t xml:space="preserve">costi </w:t>
      </w:r>
      <w:r w:rsidR="00A26F05">
        <w:rPr>
          <w:sz w:val="24"/>
          <w:szCs w:val="24"/>
        </w:rPr>
        <w:t>previsti per il</w:t>
      </w:r>
      <w:r w:rsidR="00A26F05" w:rsidRPr="00A26F05">
        <w:rPr>
          <w:sz w:val="24"/>
          <w:szCs w:val="24"/>
        </w:rPr>
        <w:t xml:space="preserve"> personale </w:t>
      </w:r>
      <w:r w:rsidR="00A26F05">
        <w:rPr>
          <w:sz w:val="24"/>
          <w:szCs w:val="24"/>
        </w:rPr>
        <w:t>sono dec</w:t>
      </w:r>
      <w:r w:rsidR="004C7157">
        <w:rPr>
          <w:sz w:val="24"/>
          <w:szCs w:val="24"/>
        </w:rPr>
        <w:t>rescenti nell’arco del triennio sia per il personale docente, sia per il personale tecnico-amministrativo e bibliotecario.</w:t>
      </w:r>
    </w:p>
    <w:p w:rsidR="004C7157" w:rsidRDefault="004C7157" w:rsidP="00A26F05">
      <w:pPr>
        <w:ind w:firstLine="720"/>
        <w:jc w:val="both"/>
        <w:rPr>
          <w:sz w:val="24"/>
          <w:szCs w:val="24"/>
        </w:rPr>
      </w:pPr>
      <w:r>
        <w:rPr>
          <w:sz w:val="24"/>
          <w:szCs w:val="24"/>
        </w:rPr>
        <w:t xml:space="preserve">Infatti, come si dettaglierà </w:t>
      </w:r>
      <w:r w:rsidR="00C73480">
        <w:rPr>
          <w:sz w:val="24"/>
          <w:szCs w:val="24"/>
        </w:rPr>
        <w:t>nel</w:t>
      </w:r>
      <w:r>
        <w:rPr>
          <w:sz w:val="24"/>
          <w:szCs w:val="24"/>
        </w:rPr>
        <w:t xml:space="preserve"> successivo paragrafo “Consistenza del personale”, l’Ateneo subisce l’effetto</w:t>
      </w:r>
      <w:r w:rsidR="00FA6BB9">
        <w:rPr>
          <w:sz w:val="24"/>
          <w:szCs w:val="24"/>
        </w:rPr>
        <w:t xml:space="preserve"> dei vari limiti</w:t>
      </w:r>
      <w:r>
        <w:rPr>
          <w:sz w:val="24"/>
          <w:szCs w:val="24"/>
        </w:rPr>
        <w:t xml:space="preserve">, </w:t>
      </w:r>
      <w:r w:rsidR="00FA6BB9">
        <w:rPr>
          <w:sz w:val="24"/>
          <w:szCs w:val="24"/>
        </w:rPr>
        <w:t>diretti o indiretti</w:t>
      </w:r>
      <w:r>
        <w:rPr>
          <w:sz w:val="24"/>
          <w:szCs w:val="24"/>
        </w:rPr>
        <w:t xml:space="preserve">, </w:t>
      </w:r>
      <w:r w:rsidR="00FA6BB9">
        <w:rPr>
          <w:sz w:val="24"/>
          <w:szCs w:val="24"/>
        </w:rPr>
        <w:t>che condizionano le politiche di reclutamento.</w:t>
      </w:r>
    </w:p>
    <w:p w:rsidR="008E2A12" w:rsidRDefault="004C7157" w:rsidP="00A26F05">
      <w:pPr>
        <w:ind w:firstLine="720"/>
        <w:jc w:val="both"/>
        <w:rPr>
          <w:sz w:val="24"/>
          <w:szCs w:val="24"/>
        </w:rPr>
      </w:pPr>
      <w:r>
        <w:rPr>
          <w:sz w:val="24"/>
          <w:szCs w:val="24"/>
        </w:rPr>
        <w:t xml:space="preserve">Ci si riferisce, quindi, tanto ai limiti sul </w:t>
      </w:r>
      <w:r w:rsidRPr="004C7157">
        <w:rPr>
          <w:i/>
          <w:sz w:val="24"/>
          <w:szCs w:val="24"/>
        </w:rPr>
        <w:t>turn-over</w:t>
      </w:r>
      <w:r>
        <w:rPr>
          <w:sz w:val="24"/>
          <w:szCs w:val="24"/>
        </w:rPr>
        <w:t xml:space="preserve">, quanto al rispetto di parametri contabili ed extra contabili stabiliti dal Governo, che inevitabilmente </w:t>
      </w:r>
      <w:r w:rsidR="00C73480">
        <w:rPr>
          <w:sz w:val="24"/>
          <w:szCs w:val="24"/>
        </w:rPr>
        <w:t xml:space="preserve">vincolano i margini di autonomia del Politecnico in ambito di gestione del personale. </w:t>
      </w:r>
    </w:p>
    <w:p w:rsidR="008E2A12" w:rsidRPr="008E2A12" w:rsidRDefault="008E2A12" w:rsidP="008E2A12">
      <w:pPr>
        <w:ind w:firstLine="720"/>
        <w:jc w:val="both"/>
        <w:rPr>
          <w:sz w:val="24"/>
          <w:szCs w:val="24"/>
        </w:rPr>
      </w:pPr>
      <w:r>
        <w:rPr>
          <w:sz w:val="24"/>
          <w:szCs w:val="24"/>
        </w:rPr>
        <w:t>Il</w:t>
      </w:r>
      <w:r w:rsidRPr="008E2A12">
        <w:rPr>
          <w:sz w:val="24"/>
          <w:szCs w:val="24"/>
        </w:rPr>
        <w:t xml:space="preserve"> dato previsionale del personale </w:t>
      </w:r>
      <w:r>
        <w:rPr>
          <w:sz w:val="24"/>
          <w:szCs w:val="24"/>
        </w:rPr>
        <w:t xml:space="preserve">docente e ricercatore </w:t>
      </w:r>
      <w:r w:rsidRPr="008E2A12">
        <w:rPr>
          <w:sz w:val="24"/>
          <w:szCs w:val="24"/>
        </w:rPr>
        <w:t>c</w:t>
      </w:r>
      <w:r>
        <w:rPr>
          <w:sz w:val="24"/>
          <w:szCs w:val="24"/>
        </w:rPr>
        <w:t>omprende il probabile aumento</w:t>
      </w:r>
      <w:r w:rsidRPr="008E2A12">
        <w:rPr>
          <w:sz w:val="24"/>
          <w:szCs w:val="24"/>
        </w:rPr>
        <w:t xml:space="preserve"> tabellare da DPCM ex art 24, c1 L 448/98, </w:t>
      </w:r>
      <w:r>
        <w:rPr>
          <w:sz w:val="24"/>
          <w:szCs w:val="24"/>
        </w:rPr>
        <w:t>basato sul</w:t>
      </w:r>
      <w:r w:rsidRPr="008E2A12">
        <w:rPr>
          <w:sz w:val="24"/>
          <w:szCs w:val="24"/>
        </w:rPr>
        <w:t xml:space="preserve"> dato </w:t>
      </w:r>
      <w:r>
        <w:rPr>
          <w:sz w:val="24"/>
          <w:szCs w:val="24"/>
        </w:rPr>
        <w:t>stimato da FOI-ISTAT</w:t>
      </w:r>
      <w:r w:rsidRPr="008E2A12">
        <w:rPr>
          <w:sz w:val="24"/>
          <w:szCs w:val="24"/>
        </w:rPr>
        <w:t xml:space="preserve"> dello 0,2%.</w:t>
      </w:r>
    </w:p>
    <w:p w:rsidR="00E06BCF" w:rsidRDefault="008E2A12" w:rsidP="006B6188">
      <w:pPr>
        <w:ind w:firstLine="720"/>
        <w:jc w:val="both"/>
        <w:rPr>
          <w:sz w:val="24"/>
          <w:szCs w:val="24"/>
        </w:rPr>
      </w:pPr>
      <w:r>
        <w:rPr>
          <w:sz w:val="24"/>
          <w:szCs w:val="24"/>
        </w:rPr>
        <w:t>In co</w:t>
      </w:r>
      <w:r w:rsidR="00C73480">
        <w:rPr>
          <w:sz w:val="24"/>
          <w:szCs w:val="24"/>
        </w:rPr>
        <w:t>rso d’anno, comunque, si prenderanno nuovamente in considerazione le stime effettuate in sede previsionale, alla luce delle informazioni effettive fornite dalle banche dati ministeriali e ai valori che emergeranno in Bilancio di Esercizio 2016.</w:t>
      </w:r>
    </w:p>
    <w:p w:rsidR="008E2A12" w:rsidRDefault="008E2A12" w:rsidP="006B6188">
      <w:pPr>
        <w:ind w:firstLine="720"/>
        <w:jc w:val="both"/>
        <w:rPr>
          <w:sz w:val="24"/>
          <w:szCs w:val="24"/>
        </w:rPr>
      </w:pPr>
      <w:r>
        <w:rPr>
          <w:sz w:val="24"/>
          <w:szCs w:val="24"/>
        </w:rPr>
        <w:t>Parimenti, non avendosi, ad oggi, dati esaustivi sul rinnovo del contratto dei dipendenti pubblici, attualmente soltanto in fase preliminare, si procederà nel corso del 2017 ad adeguare le previsioni alla situazione effettiva.</w:t>
      </w:r>
    </w:p>
    <w:p w:rsidR="008E2A12" w:rsidRDefault="00FA6BB9" w:rsidP="006B6188">
      <w:pPr>
        <w:ind w:firstLine="720"/>
        <w:jc w:val="both"/>
        <w:rPr>
          <w:b/>
          <w:i/>
          <w:sz w:val="24"/>
          <w:szCs w:val="24"/>
        </w:rPr>
      </w:pPr>
      <w:r>
        <w:rPr>
          <w:sz w:val="24"/>
          <w:szCs w:val="24"/>
        </w:rPr>
        <w:t xml:space="preserve">La categoria dei costi di personale include anche tipologie contrattuali di lavoro flessibile o assimilato al lavoro dipendente, </w:t>
      </w:r>
      <w:r w:rsidR="00D51AC0">
        <w:rPr>
          <w:sz w:val="24"/>
          <w:szCs w:val="24"/>
        </w:rPr>
        <w:t>impiegate prevalentemente in ambito di attività didattica e di ricerca, nonché le spese accessorie (buoni pasto, formazione, missioni) non riconducibili ad emolumenti.</w:t>
      </w:r>
    </w:p>
    <w:p w:rsidR="00E06BCF" w:rsidRDefault="00E06BCF" w:rsidP="006B6188">
      <w:pPr>
        <w:ind w:firstLine="720"/>
        <w:jc w:val="both"/>
        <w:rPr>
          <w:b/>
          <w:i/>
          <w:sz w:val="24"/>
          <w:szCs w:val="24"/>
        </w:rPr>
      </w:pPr>
    </w:p>
    <w:p w:rsidR="00E06BCF" w:rsidRDefault="00E06BCF" w:rsidP="006B6188">
      <w:pPr>
        <w:ind w:firstLine="720"/>
        <w:jc w:val="both"/>
        <w:rPr>
          <w:b/>
          <w:i/>
          <w:sz w:val="24"/>
          <w:szCs w:val="24"/>
        </w:rPr>
      </w:pPr>
    </w:p>
    <w:p w:rsidR="0090232E" w:rsidRPr="00076C41" w:rsidRDefault="00C73480" w:rsidP="00076645">
      <w:pPr>
        <w:pStyle w:val="Titolo3"/>
        <w:ind w:left="0"/>
        <w:jc w:val="both"/>
        <w:rPr>
          <w:i/>
        </w:rPr>
      </w:pPr>
      <w:bookmarkStart w:id="12" w:name="_Toc469659520"/>
      <w:r w:rsidRPr="00076C41">
        <w:rPr>
          <w:i/>
        </w:rPr>
        <w:lastRenderedPageBreak/>
        <w:t>2.2.2</w:t>
      </w:r>
      <w:r w:rsidR="00B01D15" w:rsidRPr="00076C41">
        <w:rPr>
          <w:i/>
        </w:rPr>
        <w:t xml:space="preserve"> Consistenza del personale</w:t>
      </w:r>
      <w:bookmarkEnd w:id="12"/>
    </w:p>
    <w:p w:rsidR="0090232E" w:rsidRDefault="0090232E" w:rsidP="006B6188">
      <w:pPr>
        <w:ind w:firstLine="720"/>
        <w:jc w:val="both"/>
        <w:rPr>
          <w:sz w:val="24"/>
          <w:szCs w:val="24"/>
        </w:rPr>
      </w:pPr>
    </w:p>
    <w:p w:rsidR="0090232E" w:rsidRDefault="0090232E" w:rsidP="006B6188">
      <w:pPr>
        <w:ind w:firstLine="720"/>
        <w:jc w:val="both"/>
        <w:rPr>
          <w:sz w:val="24"/>
          <w:szCs w:val="24"/>
        </w:rPr>
      </w:pPr>
    </w:p>
    <w:p w:rsidR="008E2A12" w:rsidRDefault="006B6188" w:rsidP="006B6188">
      <w:pPr>
        <w:ind w:firstLine="720"/>
        <w:jc w:val="both"/>
        <w:rPr>
          <w:sz w:val="24"/>
          <w:szCs w:val="24"/>
        </w:rPr>
      </w:pPr>
      <w:r w:rsidRPr="00050A7B">
        <w:rPr>
          <w:sz w:val="24"/>
          <w:szCs w:val="24"/>
        </w:rPr>
        <w:t>Nella</w:t>
      </w:r>
      <w:r w:rsidRPr="008C4829">
        <w:rPr>
          <w:i/>
          <w:color w:val="548DD4" w:themeColor="text2" w:themeTint="99"/>
          <w:sz w:val="24"/>
          <w:szCs w:val="24"/>
        </w:rPr>
        <w:t xml:space="preserve"> </w:t>
      </w:r>
      <w:r w:rsidRPr="00B225A0">
        <w:rPr>
          <w:i/>
          <w:sz w:val="24"/>
          <w:szCs w:val="24"/>
        </w:rPr>
        <w:t xml:space="preserve">Tabella </w:t>
      </w:r>
      <w:r w:rsidR="00B01D15" w:rsidRPr="00B225A0">
        <w:rPr>
          <w:i/>
          <w:sz w:val="24"/>
          <w:szCs w:val="24"/>
        </w:rPr>
        <w:t>8</w:t>
      </w:r>
      <w:r w:rsidR="00050A7B" w:rsidRPr="00B225A0">
        <w:rPr>
          <w:i/>
          <w:sz w:val="24"/>
          <w:szCs w:val="24"/>
        </w:rPr>
        <w:t xml:space="preserve"> </w:t>
      </w:r>
      <w:r w:rsidRPr="00B01D15">
        <w:rPr>
          <w:sz w:val="24"/>
          <w:szCs w:val="24"/>
        </w:rPr>
        <w:t xml:space="preserve">si </w:t>
      </w:r>
      <w:r w:rsidRPr="00050A7B">
        <w:rPr>
          <w:sz w:val="24"/>
          <w:szCs w:val="24"/>
        </w:rPr>
        <w:t>riporta la consiste</w:t>
      </w:r>
      <w:r w:rsidR="00050A7B">
        <w:rPr>
          <w:sz w:val="24"/>
          <w:szCs w:val="24"/>
        </w:rPr>
        <w:t>nza numerica del personale al 14</w:t>
      </w:r>
      <w:r w:rsidRPr="00050A7B">
        <w:rPr>
          <w:sz w:val="24"/>
          <w:szCs w:val="24"/>
        </w:rPr>
        <w:t>/12/201</w:t>
      </w:r>
      <w:r w:rsidR="00050A7B">
        <w:rPr>
          <w:sz w:val="24"/>
          <w:szCs w:val="24"/>
        </w:rPr>
        <w:t>6</w:t>
      </w:r>
      <w:r w:rsidRPr="008C4829">
        <w:rPr>
          <w:color w:val="548DD4" w:themeColor="text2" w:themeTint="99"/>
          <w:sz w:val="24"/>
          <w:szCs w:val="24"/>
        </w:rPr>
        <w:t xml:space="preserve">, </w:t>
      </w:r>
      <w:r w:rsidRPr="00050A7B">
        <w:rPr>
          <w:sz w:val="24"/>
          <w:szCs w:val="24"/>
        </w:rPr>
        <w:t>con l’indicazione delle variazioni intervenute in corso d’anno</w:t>
      </w:r>
      <w:r w:rsidR="00D03F72" w:rsidRPr="00050A7B">
        <w:rPr>
          <w:sz w:val="24"/>
          <w:szCs w:val="24"/>
        </w:rPr>
        <w:t>. Al riguardo, si specifica che le cessazioni e gli incrementi sono inclusivi dei passaggi di ruolo del personale interno, oltre che dei pensionamenti e delle nuove assunzioni.</w:t>
      </w:r>
      <w:r w:rsidR="00EA1B99">
        <w:rPr>
          <w:sz w:val="24"/>
          <w:szCs w:val="24"/>
        </w:rPr>
        <w:t xml:space="preserve"> </w:t>
      </w:r>
    </w:p>
    <w:p w:rsidR="00B036D6" w:rsidRDefault="00EA1B99" w:rsidP="00050A7B">
      <w:pPr>
        <w:ind w:firstLine="720"/>
        <w:jc w:val="both"/>
        <w:rPr>
          <w:sz w:val="24"/>
          <w:szCs w:val="24"/>
        </w:rPr>
      </w:pPr>
      <w:r>
        <w:rPr>
          <w:sz w:val="24"/>
          <w:szCs w:val="24"/>
        </w:rPr>
        <w:t xml:space="preserve">In </w:t>
      </w:r>
      <w:r w:rsidR="00CF725C">
        <w:rPr>
          <w:sz w:val="24"/>
          <w:szCs w:val="24"/>
        </w:rPr>
        <w:t xml:space="preserve">linea </w:t>
      </w:r>
      <w:r>
        <w:rPr>
          <w:sz w:val="24"/>
          <w:szCs w:val="24"/>
        </w:rPr>
        <w:t>generale, n</w:t>
      </w:r>
      <w:r w:rsidR="00050A7B">
        <w:rPr>
          <w:sz w:val="24"/>
          <w:szCs w:val="24"/>
        </w:rPr>
        <w:t>on si rilevano particolari variazioni di personale nel corso del 2016.</w:t>
      </w:r>
    </w:p>
    <w:p w:rsidR="00050A7B" w:rsidRDefault="00050A7B" w:rsidP="00050A7B">
      <w:pPr>
        <w:ind w:firstLine="720"/>
        <w:jc w:val="both"/>
        <w:rPr>
          <w:sz w:val="24"/>
          <w:szCs w:val="24"/>
        </w:rPr>
      </w:pPr>
      <w:r>
        <w:rPr>
          <w:sz w:val="24"/>
          <w:szCs w:val="24"/>
        </w:rPr>
        <w:t>E’</w:t>
      </w:r>
      <w:r w:rsidR="00EA1B99">
        <w:rPr>
          <w:sz w:val="24"/>
          <w:szCs w:val="24"/>
        </w:rPr>
        <w:t xml:space="preserve"> opportuno</w:t>
      </w:r>
      <w:r>
        <w:rPr>
          <w:sz w:val="24"/>
          <w:szCs w:val="24"/>
        </w:rPr>
        <w:t xml:space="preserve"> </w:t>
      </w:r>
      <w:r w:rsidR="00EA1B99">
        <w:rPr>
          <w:sz w:val="24"/>
          <w:szCs w:val="24"/>
        </w:rPr>
        <w:t>comunque</w:t>
      </w:r>
      <w:r>
        <w:rPr>
          <w:sz w:val="24"/>
          <w:szCs w:val="24"/>
        </w:rPr>
        <w:t xml:space="preserve"> </w:t>
      </w:r>
      <w:r w:rsidR="00CF725C">
        <w:rPr>
          <w:sz w:val="24"/>
          <w:szCs w:val="24"/>
        </w:rPr>
        <w:t>evidenziare</w:t>
      </w:r>
      <w:r>
        <w:rPr>
          <w:sz w:val="24"/>
          <w:szCs w:val="24"/>
        </w:rPr>
        <w:t xml:space="preserve"> il progressivo decremento del </w:t>
      </w:r>
      <w:r w:rsidRPr="00050A7B">
        <w:rPr>
          <w:sz w:val="24"/>
          <w:szCs w:val="24"/>
        </w:rPr>
        <w:t>ruolo ad esaurimento dei ricercatori a tempo indeterminato</w:t>
      </w:r>
      <w:r w:rsidR="00EA1B99">
        <w:rPr>
          <w:sz w:val="24"/>
          <w:szCs w:val="24"/>
        </w:rPr>
        <w:t>, nonché le nuove assunzioni di ricercatori di tipo “B”, a valere su fondi del Politecnico (n.3 unità), alle quali ne seguiranno a breve altre quattro</w:t>
      </w:r>
      <w:r w:rsidR="009E18D0">
        <w:rPr>
          <w:sz w:val="24"/>
          <w:szCs w:val="24"/>
        </w:rPr>
        <w:t>,</w:t>
      </w:r>
      <w:r w:rsidR="00EA1B99">
        <w:rPr>
          <w:sz w:val="24"/>
          <w:szCs w:val="24"/>
        </w:rPr>
        <w:t xml:space="preserve"> in relazione al piano straordinario del M.I.U.R.</w:t>
      </w:r>
    </w:p>
    <w:p w:rsidR="00EA1B99" w:rsidRDefault="00BC4C57" w:rsidP="00050A7B">
      <w:pPr>
        <w:ind w:firstLine="720"/>
        <w:jc w:val="both"/>
        <w:rPr>
          <w:sz w:val="24"/>
          <w:szCs w:val="24"/>
        </w:rPr>
      </w:pPr>
      <w:r>
        <w:rPr>
          <w:sz w:val="24"/>
          <w:szCs w:val="24"/>
        </w:rPr>
        <w:t>S</w:t>
      </w:r>
      <w:r w:rsidR="00EA1B99">
        <w:rPr>
          <w:sz w:val="24"/>
          <w:szCs w:val="24"/>
        </w:rPr>
        <w:t>ono previste</w:t>
      </w:r>
      <w:r w:rsidR="009E18D0">
        <w:rPr>
          <w:sz w:val="24"/>
          <w:szCs w:val="24"/>
        </w:rPr>
        <w:t>,</w:t>
      </w:r>
      <w:r w:rsidR="00EA1B99">
        <w:rPr>
          <w:sz w:val="24"/>
          <w:szCs w:val="24"/>
        </w:rPr>
        <w:t xml:space="preserve"> entro il termine del 2016</w:t>
      </w:r>
      <w:r w:rsidR="009E18D0">
        <w:rPr>
          <w:sz w:val="24"/>
          <w:szCs w:val="24"/>
        </w:rPr>
        <w:t>,</w:t>
      </w:r>
      <w:r w:rsidR="00EA1B99">
        <w:rPr>
          <w:sz w:val="24"/>
          <w:szCs w:val="24"/>
        </w:rPr>
        <w:t xml:space="preserve"> assunzioni a valere sul piano straordinario per professori </w:t>
      </w:r>
      <w:r w:rsidR="009E18D0">
        <w:rPr>
          <w:sz w:val="24"/>
          <w:szCs w:val="24"/>
        </w:rPr>
        <w:t>di I fascia (n.3 unità) e di II fascia (n.4 unità).</w:t>
      </w:r>
      <w:r w:rsidR="00EA1B99">
        <w:rPr>
          <w:sz w:val="24"/>
          <w:szCs w:val="24"/>
        </w:rPr>
        <w:t xml:space="preserve"> </w:t>
      </w:r>
    </w:p>
    <w:p w:rsidR="009E18D0" w:rsidRDefault="009E18D0" w:rsidP="00050A7B">
      <w:pPr>
        <w:ind w:firstLine="720"/>
        <w:jc w:val="both"/>
        <w:rPr>
          <w:sz w:val="24"/>
          <w:szCs w:val="24"/>
        </w:rPr>
      </w:pPr>
      <w:r>
        <w:rPr>
          <w:sz w:val="24"/>
          <w:szCs w:val="24"/>
        </w:rPr>
        <w:t xml:space="preserve">Anche per il 2016, </w:t>
      </w:r>
      <w:r w:rsidR="008F6A82">
        <w:rPr>
          <w:sz w:val="24"/>
          <w:szCs w:val="24"/>
        </w:rPr>
        <w:t xml:space="preserve">il personale non docente non ha beneficiato di alcun passaggio di ruolo e/o di </w:t>
      </w:r>
      <w:r w:rsidR="008F6A82" w:rsidRPr="008F6A82">
        <w:rPr>
          <w:i/>
          <w:sz w:val="24"/>
          <w:szCs w:val="24"/>
        </w:rPr>
        <w:t>turn-over</w:t>
      </w:r>
      <w:r w:rsidR="008F6A82">
        <w:rPr>
          <w:sz w:val="24"/>
          <w:szCs w:val="24"/>
        </w:rPr>
        <w:t>. Conseguentemente il decremento nel numero di unità è rappresentativo di cessazioni in senso stretto.</w:t>
      </w:r>
    </w:p>
    <w:p w:rsidR="00750255" w:rsidRPr="008C4829" w:rsidRDefault="00750255" w:rsidP="00750255">
      <w:pPr>
        <w:jc w:val="both"/>
        <w:rPr>
          <w:i/>
          <w:color w:val="548DD4" w:themeColor="text2" w:themeTint="99"/>
          <w:sz w:val="24"/>
          <w:szCs w:val="24"/>
        </w:rPr>
      </w:pPr>
    </w:p>
    <w:p w:rsidR="00750255" w:rsidRPr="0038061B" w:rsidRDefault="008B112E" w:rsidP="00BB282E">
      <w:pPr>
        <w:jc w:val="both"/>
        <w:rPr>
          <w:b/>
        </w:rPr>
      </w:pPr>
      <w:r w:rsidRPr="0038061B">
        <w:rPr>
          <w:i/>
        </w:rPr>
        <w:t xml:space="preserve">Tabella </w:t>
      </w:r>
      <w:r w:rsidR="00B01D15" w:rsidRPr="0038061B">
        <w:rPr>
          <w:i/>
        </w:rPr>
        <w:t>8</w:t>
      </w:r>
      <w:r w:rsidR="00750255" w:rsidRPr="0038061B">
        <w:rPr>
          <w:i/>
        </w:rPr>
        <w:t>: Consiste</w:t>
      </w:r>
      <w:r w:rsidRPr="0038061B">
        <w:rPr>
          <w:i/>
        </w:rPr>
        <w:t>nza numerica del personale al 14</w:t>
      </w:r>
      <w:r w:rsidR="00750255" w:rsidRPr="0038061B">
        <w:rPr>
          <w:i/>
        </w:rPr>
        <w:t>/12/201</w:t>
      </w:r>
      <w:r w:rsidRPr="0038061B">
        <w:rPr>
          <w:i/>
        </w:rPr>
        <w:t>6</w:t>
      </w:r>
    </w:p>
    <w:p w:rsidR="00750255" w:rsidRPr="008C4829" w:rsidRDefault="00750255" w:rsidP="00BB282E">
      <w:pPr>
        <w:jc w:val="both"/>
        <w:rPr>
          <w:b/>
          <w:color w:val="548DD4" w:themeColor="text2" w:themeTint="99"/>
          <w:sz w:val="24"/>
          <w:szCs w:val="24"/>
        </w:rPr>
      </w:pPr>
    </w:p>
    <w:tbl>
      <w:tblPr>
        <w:tblW w:w="782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40"/>
        <w:gridCol w:w="1610"/>
        <w:gridCol w:w="1850"/>
        <w:gridCol w:w="1220"/>
      </w:tblGrid>
      <w:tr w:rsidR="008C4829" w:rsidRPr="008C4829" w:rsidTr="007C0A39">
        <w:trPr>
          <w:trHeight w:val="300"/>
        </w:trPr>
        <w:tc>
          <w:tcPr>
            <w:tcW w:w="3140" w:type="dxa"/>
            <w:shd w:val="clear" w:color="auto" w:fill="auto"/>
            <w:noWrap/>
            <w:vAlign w:val="bottom"/>
            <w:hideMark/>
          </w:tcPr>
          <w:p w:rsidR="00750255" w:rsidRPr="008B112E" w:rsidRDefault="00750255" w:rsidP="007C0A39">
            <w:pPr>
              <w:rPr>
                <w:b/>
              </w:rPr>
            </w:pPr>
            <w:r w:rsidRPr="008B112E">
              <w:rPr>
                <w:b/>
              </w:rPr>
              <w:t>Categoria</w:t>
            </w:r>
          </w:p>
        </w:tc>
        <w:tc>
          <w:tcPr>
            <w:tcW w:w="1610" w:type="dxa"/>
            <w:shd w:val="clear" w:color="auto" w:fill="auto"/>
            <w:noWrap/>
            <w:vAlign w:val="bottom"/>
            <w:hideMark/>
          </w:tcPr>
          <w:p w:rsidR="00750255" w:rsidRPr="008B112E" w:rsidRDefault="008B112E" w:rsidP="007C0A39">
            <w:pPr>
              <w:jc w:val="right"/>
              <w:rPr>
                <w:b/>
              </w:rPr>
            </w:pPr>
            <w:r>
              <w:rPr>
                <w:b/>
              </w:rPr>
              <w:t>1 gennaio 2016</w:t>
            </w:r>
          </w:p>
        </w:tc>
        <w:tc>
          <w:tcPr>
            <w:tcW w:w="1850" w:type="dxa"/>
            <w:shd w:val="clear" w:color="auto" w:fill="auto"/>
            <w:noWrap/>
            <w:vAlign w:val="bottom"/>
            <w:hideMark/>
          </w:tcPr>
          <w:p w:rsidR="00750255" w:rsidRPr="008B112E" w:rsidRDefault="008B112E" w:rsidP="007C0A39">
            <w:pPr>
              <w:jc w:val="right"/>
              <w:rPr>
                <w:b/>
              </w:rPr>
            </w:pPr>
            <w:r>
              <w:rPr>
                <w:b/>
              </w:rPr>
              <w:t>14 dicembre 2016</w:t>
            </w:r>
          </w:p>
        </w:tc>
        <w:tc>
          <w:tcPr>
            <w:tcW w:w="1220" w:type="dxa"/>
            <w:shd w:val="clear" w:color="auto" w:fill="auto"/>
            <w:noWrap/>
            <w:vAlign w:val="bottom"/>
            <w:hideMark/>
          </w:tcPr>
          <w:p w:rsidR="00750255" w:rsidRPr="008B112E" w:rsidRDefault="00750255" w:rsidP="007C0A39">
            <w:pPr>
              <w:rPr>
                <w:b/>
              </w:rPr>
            </w:pPr>
            <w:r w:rsidRPr="008B112E">
              <w:rPr>
                <w:b/>
              </w:rPr>
              <w:t>Differenza</w:t>
            </w:r>
          </w:p>
        </w:tc>
      </w:tr>
      <w:tr w:rsidR="008C4829" w:rsidRPr="008C4829" w:rsidTr="007C0A39">
        <w:trPr>
          <w:trHeight w:val="300"/>
        </w:trPr>
        <w:tc>
          <w:tcPr>
            <w:tcW w:w="7820" w:type="dxa"/>
            <w:gridSpan w:val="4"/>
            <w:shd w:val="clear" w:color="auto" w:fill="auto"/>
            <w:noWrap/>
            <w:vAlign w:val="bottom"/>
          </w:tcPr>
          <w:p w:rsidR="006B6188" w:rsidRPr="008C4829" w:rsidRDefault="006B6188" w:rsidP="006B6188">
            <w:pPr>
              <w:jc w:val="center"/>
              <w:rPr>
                <w:b/>
                <w:color w:val="548DD4" w:themeColor="text2" w:themeTint="99"/>
              </w:rPr>
            </w:pPr>
            <w:r w:rsidRPr="008B112E">
              <w:rPr>
                <w:b/>
              </w:rPr>
              <w:t>Personale dipendente a tempo indeterminato</w:t>
            </w:r>
          </w:p>
        </w:tc>
      </w:tr>
      <w:tr w:rsidR="008C4829" w:rsidRPr="008C4829" w:rsidTr="007C0A39">
        <w:trPr>
          <w:trHeight w:val="300"/>
        </w:trPr>
        <w:tc>
          <w:tcPr>
            <w:tcW w:w="3140" w:type="dxa"/>
            <w:shd w:val="clear" w:color="auto" w:fill="auto"/>
            <w:noWrap/>
            <w:vAlign w:val="bottom"/>
            <w:hideMark/>
          </w:tcPr>
          <w:p w:rsidR="00750255" w:rsidRPr="008B112E" w:rsidRDefault="00750255" w:rsidP="007C0A39">
            <w:r w:rsidRPr="008B112E">
              <w:t>Professori Ordinari</w:t>
            </w:r>
          </w:p>
        </w:tc>
        <w:tc>
          <w:tcPr>
            <w:tcW w:w="1610" w:type="dxa"/>
            <w:shd w:val="clear" w:color="auto" w:fill="auto"/>
            <w:noWrap/>
            <w:vAlign w:val="bottom"/>
            <w:hideMark/>
          </w:tcPr>
          <w:p w:rsidR="00750255" w:rsidRPr="008B112E" w:rsidRDefault="008B112E" w:rsidP="007C0A39">
            <w:pPr>
              <w:jc w:val="right"/>
            </w:pPr>
            <w:r w:rsidRPr="008B112E">
              <w:t>62</w:t>
            </w:r>
          </w:p>
        </w:tc>
        <w:tc>
          <w:tcPr>
            <w:tcW w:w="1850" w:type="dxa"/>
            <w:shd w:val="clear" w:color="auto" w:fill="auto"/>
            <w:noWrap/>
            <w:vAlign w:val="bottom"/>
            <w:hideMark/>
          </w:tcPr>
          <w:p w:rsidR="00750255" w:rsidRPr="0056711F" w:rsidRDefault="0056711F" w:rsidP="007C0A39">
            <w:pPr>
              <w:jc w:val="right"/>
            </w:pPr>
            <w:r w:rsidRPr="0056711F">
              <w:t>63</w:t>
            </w:r>
          </w:p>
        </w:tc>
        <w:tc>
          <w:tcPr>
            <w:tcW w:w="1220" w:type="dxa"/>
            <w:shd w:val="clear" w:color="auto" w:fill="auto"/>
            <w:noWrap/>
            <w:vAlign w:val="bottom"/>
            <w:hideMark/>
          </w:tcPr>
          <w:p w:rsidR="00750255" w:rsidRPr="0056711F" w:rsidRDefault="0056711F" w:rsidP="007C0A39">
            <w:pPr>
              <w:jc w:val="right"/>
            </w:pPr>
            <w:r w:rsidRPr="0056711F">
              <w:t>1</w:t>
            </w:r>
          </w:p>
        </w:tc>
      </w:tr>
      <w:tr w:rsidR="008C4829" w:rsidRPr="008C4829" w:rsidTr="007C0A39">
        <w:trPr>
          <w:trHeight w:val="300"/>
        </w:trPr>
        <w:tc>
          <w:tcPr>
            <w:tcW w:w="3140" w:type="dxa"/>
            <w:shd w:val="clear" w:color="auto" w:fill="auto"/>
            <w:noWrap/>
            <w:vAlign w:val="bottom"/>
            <w:hideMark/>
          </w:tcPr>
          <w:p w:rsidR="00750255" w:rsidRPr="008B112E" w:rsidRDefault="00750255" w:rsidP="007C0A39">
            <w:r w:rsidRPr="008B112E">
              <w:t>Professori Associati</w:t>
            </w:r>
          </w:p>
        </w:tc>
        <w:tc>
          <w:tcPr>
            <w:tcW w:w="1610" w:type="dxa"/>
            <w:shd w:val="clear" w:color="auto" w:fill="auto"/>
            <w:noWrap/>
            <w:vAlign w:val="bottom"/>
            <w:hideMark/>
          </w:tcPr>
          <w:p w:rsidR="00750255" w:rsidRPr="008B112E" w:rsidRDefault="008B112E" w:rsidP="007C0A39">
            <w:pPr>
              <w:jc w:val="right"/>
            </w:pPr>
            <w:r w:rsidRPr="008B112E">
              <w:t>112</w:t>
            </w:r>
          </w:p>
        </w:tc>
        <w:tc>
          <w:tcPr>
            <w:tcW w:w="1850" w:type="dxa"/>
            <w:shd w:val="clear" w:color="auto" w:fill="auto"/>
            <w:noWrap/>
            <w:vAlign w:val="bottom"/>
            <w:hideMark/>
          </w:tcPr>
          <w:p w:rsidR="00750255" w:rsidRPr="0056711F" w:rsidRDefault="0056711F" w:rsidP="007C0A39">
            <w:pPr>
              <w:jc w:val="right"/>
            </w:pPr>
            <w:r w:rsidRPr="0056711F">
              <w:t>111</w:t>
            </w:r>
          </w:p>
        </w:tc>
        <w:tc>
          <w:tcPr>
            <w:tcW w:w="1220" w:type="dxa"/>
            <w:shd w:val="clear" w:color="auto" w:fill="auto"/>
            <w:noWrap/>
            <w:vAlign w:val="bottom"/>
            <w:hideMark/>
          </w:tcPr>
          <w:p w:rsidR="00750255" w:rsidRPr="0056711F" w:rsidRDefault="0056711F" w:rsidP="007C0A39">
            <w:pPr>
              <w:jc w:val="right"/>
            </w:pPr>
            <w:r>
              <w:t>-</w:t>
            </w:r>
            <w:r w:rsidRPr="0056711F">
              <w:t>1</w:t>
            </w:r>
          </w:p>
        </w:tc>
      </w:tr>
      <w:tr w:rsidR="008C4829" w:rsidRPr="008C4829" w:rsidTr="007C0A39">
        <w:trPr>
          <w:trHeight w:val="300"/>
        </w:trPr>
        <w:tc>
          <w:tcPr>
            <w:tcW w:w="3140" w:type="dxa"/>
            <w:shd w:val="clear" w:color="auto" w:fill="auto"/>
            <w:noWrap/>
            <w:vAlign w:val="bottom"/>
            <w:hideMark/>
          </w:tcPr>
          <w:p w:rsidR="00750255" w:rsidRPr="008B112E" w:rsidRDefault="00750255" w:rsidP="007C0A39">
            <w:r w:rsidRPr="008B112E">
              <w:t>Ricercatori Universitari</w:t>
            </w:r>
          </w:p>
        </w:tc>
        <w:tc>
          <w:tcPr>
            <w:tcW w:w="1610" w:type="dxa"/>
            <w:shd w:val="clear" w:color="auto" w:fill="auto"/>
            <w:noWrap/>
            <w:vAlign w:val="bottom"/>
            <w:hideMark/>
          </w:tcPr>
          <w:p w:rsidR="00750255" w:rsidRPr="008B112E" w:rsidRDefault="008B112E" w:rsidP="007C0A39">
            <w:pPr>
              <w:jc w:val="right"/>
            </w:pPr>
            <w:r w:rsidRPr="008B112E">
              <w:t>87</w:t>
            </w:r>
          </w:p>
        </w:tc>
        <w:tc>
          <w:tcPr>
            <w:tcW w:w="1850" w:type="dxa"/>
            <w:shd w:val="clear" w:color="auto" w:fill="auto"/>
            <w:noWrap/>
            <w:vAlign w:val="bottom"/>
            <w:hideMark/>
          </w:tcPr>
          <w:p w:rsidR="00750255" w:rsidRPr="0056711F" w:rsidRDefault="0056711F" w:rsidP="007C0A39">
            <w:pPr>
              <w:jc w:val="right"/>
            </w:pPr>
            <w:r w:rsidRPr="0056711F">
              <w:t>84</w:t>
            </w:r>
          </w:p>
        </w:tc>
        <w:tc>
          <w:tcPr>
            <w:tcW w:w="1220" w:type="dxa"/>
            <w:shd w:val="clear" w:color="auto" w:fill="auto"/>
            <w:noWrap/>
            <w:vAlign w:val="bottom"/>
            <w:hideMark/>
          </w:tcPr>
          <w:p w:rsidR="00750255" w:rsidRPr="0056711F" w:rsidRDefault="00750255" w:rsidP="0056711F">
            <w:pPr>
              <w:jc w:val="right"/>
            </w:pPr>
            <w:r w:rsidRPr="0056711F">
              <w:t>-</w:t>
            </w:r>
            <w:r w:rsidR="0056711F" w:rsidRPr="0056711F">
              <w:t>3</w:t>
            </w:r>
          </w:p>
        </w:tc>
      </w:tr>
      <w:tr w:rsidR="008C4829" w:rsidRPr="008C4829" w:rsidTr="007C0A39">
        <w:trPr>
          <w:trHeight w:val="300"/>
        </w:trPr>
        <w:tc>
          <w:tcPr>
            <w:tcW w:w="3140" w:type="dxa"/>
            <w:shd w:val="clear" w:color="auto" w:fill="auto"/>
            <w:noWrap/>
            <w:vAlign w:val="bottom"/>
          </w:tcPr>
          <w:p w:rsidR="006B6188" w:rsidRPr="008B112E" w:rsidRDefault="006B6188" w:rsidP="006B6188">
            <w:r w:rsidRPr="008B112E">
              <w:t xml:space="preserve">Dirigenti </w:t>
            </w:r>
          </w:p>
        </w:tc>
        <w:tc>
          <w:tcPr>
            <w:tcW w:w="1610" w:type="dxa"/>
            <w:shd w:val="clear" w:color="auto" w:fill="auto"/>
            <w:noWrap/>
            <w:vAlign w:val="bottom"/>
          </w:tcPr>
          <w:p w:rsidR="006B6188" w:rsidRPr="008C4829" w:rsidRDefault="006B6188" w:rsidP="006B6188">
            <w:pPr>
              <w:jc w:val="right"/>
              <w:rPr>
                <w:color w:val="548DD4" w:themeColor="text2" w:themeTint="99"/>
              </w:rPr>
            </w:pPr>
            <w:r w:rsidRPr="008B112E">
              <w:t>1</w:t>
            </w:r>
          </w:p>
        </w:tc>
        <w:tc>
          <w:tcPr>
            <w:tcW w:w="1850" w:type="dxa"/>
            <w:shd w:val="clear" w:color="auto" w:fill="auto"/>
            <w:noWrap/>
            <w:vAlign w:val="bottom"/>
          </w:tcPr>
          <w:p w:rsidR="006B6188" w:rsidRPr="008C4829" w:rsidRDefault="006B6188" w:rsidP="006B6188">
            <w:pPr>
              <w:jc w:val="right"/>
              <w:rPr>
                <w:color w:val="548DD4" w:themeColor="text2" w:themeTint="99"/>
              </w:rPr>
            </w:pPr>
            <w:r w:rsidRPr="0056711F">
              <w:t>1</w:t>
            </w:r>
          </w:p>
        </w:tc>
        <w:tc>
          <w:tcPr>
            <w:tcW w:w="1220" w:type="dxa"/>
            <w:shd w:val="clear" w:color="auto" w:fill="auto"/>
            <w:noWrap/>
            <w:vAlign w:val="bottom"/>
          </w:tcPr>
          <w:p w:rsidR="006B6188" w:rsidRPr="0056711F" w:rsidRDefault="006B6188" w:rsidP="006B6188">
            <w:pPr>
              <w:jc w:val="right"/>
            </w:pPr>
            <w:r w:rsidRPr="0056711F">
              <w:t>0</w:t>
            </w:r>
          </w:p>
        </w:tc>
      </w:tr>
      <w:tr w:rsidR="008B112E" w:rsidRPr="008C4829" w:rsidTr="007C0A39">
        <w:trPr>
          <w:trHeight w:val="300"/>
        </w:trPr>
        <w:tc>
          <w:tcPr>
            <w:tcW w:w="3140" w:type="dxa"/>
            <w:shd w:val="clear" w:color="auto" w:fill="auto"/>
            <w:noWrap/>
            <w:vAlign w:val="bottom"/>
          </w:tcPr>
          <w:p w:rsidR="008B112E" w:rsidRPr="008B112E" w:rsidRDefault="008B112E" w:rsidP="006B6188">
            <w:r>
              <w:t>EP</w:t>
            </w:r>
          </w:p>
        </w:tc>
        <w:tc>
          <w:tcPr>
            <w:tcW w:w="1610" w:type="dxa"/>
            <w:shd w:val="clear" w:color="auto" w:fill="auto"/>
            <w:noWrap/>
            <w:vAlign w:val="bottom"/>
          </w:tcPr>
          <w:p w:rsidR="008B112E" w:rsidRPr="008C4829" w:rsidRDefault="008B112E" w:rsidP="006B6188">
            <w:pPr>
              <w:jc w:val="right"/>
              <w:rPr>
                <w:color w:val="548DD4" w:themeColor="text2" w:themeTint="99"/>
              </w:rPr>
            </w:pPr>
            <w:r w:rsidRPr="008B112E">
              <w:t>25</w:t>
            </w:r>
          </w:p>
        </w:tc>
        <w:tc>
          <w:tcPr>
            <w:tcW w:w="1850" w:type="dxa"/>
            <w:shd w:val="clear" w:color="auto" w:fill="auto"/>
            <w:noWrap/>
            <w:vAlign w:val="bottom"/>
          </w:tcPr>
          <w:p w:rsidR="008B112E" w:rsidRPr="0056711F" w:rsidRDefault="0056711F" w:rsidP="006B6188">
            <w:pPr>
              <w:jc w:val="right"/>
            </w:pPr>
            <w:r w:rsidRPr="0056711F">
              <w:t>24</w:t>
            </w:r>
          </w:p>
        </w:tc>
        <w:tc>
          <w:tcPr>
            <w:tcW w:w="1220" w:type="dxa"/>
            <w:shd w:val="clear" w:color="auto" w:fill="auto"/>
            <w:noWrap/>
            <w:vAlign w:val="bottom"/>
          </w:tcPr>
          <w:p w:rsidR="008B112E" w:rsidRPr="0056711F" w:rsidRDefault="0056711F" w:rsidP="006B6188">
            <w:pPr>
              <w:jc w:val="right"/>
            </w:pPr>
            <w:r w:rsidRPr="0056711F">
              <w:t>-1</w:t>
            </w:r>
          </w:p>
        </w:tc>
      </w:tr>
      <w:tr w:rsidR="008B112E" w:rsidRPr="008C4829" w:rsidTr="007C0A39">
        <w:trPr>
          <w:trHeight w:val="300"/>
        </w:trPr>
        <w:tc>
          <w:tcPr>
            <w:tcW w:w="3140" w:type="dxa"/>
            <w:shd w:val="clear" w:color="auto" w:fill="auto"/>
            <w:noWrap/>
            <w:vAlign w:val="bottom"/>
          </w:tcPr>
          <w:p w:rsidR="008B112E" w:rsidRPr="008B112E" w:rsidRDefault="008B112E" w:rsidP="006B6188">
            <w:r>
              <w:t>D</w:t>
            </w:r>
          </w:p>
        </w:tc>
        <w:tc>
          <w:tcPr>
            <w:tcW w:w="1610" w:type="dxa"/>
            <w:shd w:val="clear" w:color="auto" w:fill="auto"/>
            <w:noWrap/>
            <w:vAlign w:val="bottom"/>
          </w:tcPr>
          <w:p w:rsidR="008B112E" w:rsidRPr="008C4829" w:rsidRDefault="008B112E" w:rsidP="006B6188">
            <w:pPr>
              <w:jc w:val="right"/>
              <w:rPr>
                <w:color w:val="548DD4" w:themeColor="text2" w:themeTint="99"/>
              </w:rPr>
            </w:pPr>
            <w:r w:rsidRPr="008B112E">
              <w:t>67</w:t>
            </w:r>
          </w:p>
        </w:tc>
        <w:tc>
          <w:tcPr>
            <w:tcW w:w="1850" w:type="dxa"/>
            <w:shd w:val="clear" w:color="auto" w:fill="auto"/>
            <w:noWrap/>
            <w:vAlign w:val="bottom"/>
          </w:tcPr>
          <w:p w:rsidR="008B112E" w:rsidRPr="0056711F" w:rsidRDefault="0056711F" w:rsidP="006B6188">
            <w:pPr>
              <w:jc w:val="right"/>
            </w:pPr>
            <w:r w:rsidRPr="0056711F">
              <w:t>67</w:t>
            </w:r>
          </w:p>
        </w:tc>
        <w:tc>
          <w:tcPr>
            <w:tcW w:w="1220" w:type="dxa"/>
            <w:shd w:val="clear" w:color="auto" w:fill="auto"/>
            <w:noWrap/>
            <w:vAlign w:val="bottom"/>
          </w:tcPr>
          <w:p w:rsidR="008B112E" w:rsidRPr="0056711F" w:rsidRDefault="0056711F" w:rsidP="006B6188">
            <w:pPr>
              <w:jc w:val="right"/>
            </w:pPr>
            <w:r w:rsidRPr="0056711F">
              <w:t>0</w:t>
            </w:r>
          </w:p>
        </w:tc>
      </w:tr>
      <w:tr w:rsidR="008B112E" w:rsidRPr="008C4829" w:rsidTr="007C0A39">
        <w:trPr>
          <w:trHeight w:val="300"/>
        </w:trPr>
        <w:tc>
          <w:tcPr>
            <w:tcW w:w="3140" w:type="dxa"/>
            <w:shd w:val="clear" w:color="auto" w:fill="auto"/>
            <w:noWrap/>
            <w:vAlign w:val="bottom"/>
          </w:tcPr>
          <w:p w:rsidR="008B112E" w:rsidRPr="008B112E" w:rsidRDefault="008B112E" w:rsidP="006B6188">
            <w:r>
              <w:t>C</w:t>
            </w:r>
          </w:p>
        </w:tc>
        <w:tc>
          <w:tcPr>
            <w:tcW w:w="1610" w:type="dxa"/>
            <w:shd w:val="clear" w:color="auto" w:fill="auto"/>
            <w:noWrap/>
            <w:vAlign w:val="bottom"/>
          </w:tcPr>
          <w:p w:rsidR="008B112E" w:rsidRPr="008C4829" w:rsidRDefault="008B112E" w:rsidP="006B6188">
            <w:pPr>
              <w:jc w:val="right"/>
              <w:rPr>
                <w:color w:val="548DD4" w:themeColor="text2" w:themeTint="99"/>
              </w:rPr>
            </w:pPr>
            <w:r w:rsidRPr="008B112E">
              <w:t>159</w:t>
            </w:r>
          </w:p>
        </w:tc>
        <w:tc>
          <w:tcPr>
            <w:tcW w:w="1850" w:type="dxa"/>
            <w:shd w:val="clear" w:color="auto" w:fill="auto"/>
            <w:noWrap/>
            <w:vAlign w:val="bottom"/>
          </w:tcPr>
          <w:p w:rsidR="008B112E" w:rsidRPr="0056711F" w:rsidRDefault="0056711F" w:rsidP="006B6188">
            <w:pPr>
              <w:jc w:val="right"/>
            </w:pPr>
            <w:r w:rsidRPr="0056711F">
              <w:t>155</w:t>
            </w:r>
          </w:p>
        </w:tc>
        <w:tc>
          <w:tcPr>
            <w:tcW w:w="1220" w:type="dxa"/>
            <w:shd w:val="clear" w:color="auto" w:fill="auto"/>
            <w:noWrap/>
            <w:vAlign w:val="bottom"/>
          </w:tcPr>
          <w:p w:rsidR="008B112E" w:rsidRPr="0056711F" w:rsidRDefault="0056711F" w:rsidP="006B6188">
            <w:pPr>
              <w:jc w:val="right"/>
            </w:pPr>
            <w:r w:rsidRPr="0056711F">
              <w:t>-4</w:t>
            </w:r>
          </w:p>
        </w:tc>
      </w:tr>
      <w:tr w:rsidR="008B112E" w:rsidRPr="008C4829" w:rsidTr="007C0A39">
        <w:trPr>
          <w:trHeight w:val="300"/>
        </w:trPr>
        <w:tc>
          <w:tcPr>
            <w:tcW w:w="3140" w:type="dxa"/>
            <w:shd w:val="clear" w:color="auto" w:fill="auto"/>
            <w:noWrap/>
            <w:vAlign w:val="bottom"/>
          </w:tcPr>
          <w:p w:rsidR="008B112E" w:rsidRPr="008B112E" w:rsidRDefault="008B112E" w:rsidP="006B6188">
            <w:r>
              <w:t>B</w:t>
            </w:r>
          </w:p>
        </w:tc>
        <w:tc>
          <w:tcPr>
            <w:tcW w:w="1610" w:type="dxa"/>
            <w:shd w:val="clear" w:color="auto" w:fill="auto"/>
            <w:noWrap/>
            <w:vAlign w:val="bottom"/>
          </w:tcPr>
          <w:p w:rsidR="008B112E" w:rsidRPr="008C4829" w:rsidRDefault="008B112E" w:rsidP="006B6188">
            <w:pPr>
              <w:jc w:val="right"/>
              <w:rPr>
                <w:color w:val="548DD4" w:themeColor="text2" w:themeTint="99"/>
              </w:rPr>
            </w:pPr>
            <w:r w:rsidRPr="008B112E">
              <w:t>29</w:t>
            </w:r>
          </w:p>
        </w:tc>
        <w:tc>
          <w:tcPr>
            <w:tcW w:w="1850" w:type="dxa"/>
            <w:shd w:val="clear" w:color="auto" w:fill="auto"/>
            <w:noWrap/>
            <w:vAlign w:val="bottom"/>
          </w:tcPr>
          <w:p w:rsidR="008B112E" w:rsidRPr="0056711F" w:rsidRDefault="0056711F" w:rsidP="006B6188">
            <w:pPr>
              <w:jc w:val="right"/>
            </w:pPr>
            <w:r w:rsidRPr="0056711F">
              <w:t>29</w:t>
            </w:r>
          </w:p>
        </w:tc>
        <w:tc>
          <w:tcPr>
            <w:tcW w:w="1220" w:type="dxa"/>
            <w:shd w:val="clear" w:color="auto" w:fill="auto"/>
            <w:noWrap/>
            <w:vAlign w:val="bottom"/>
          </w:tcPr>
          <w:p w:rsidR="008B112E" w:rsidRPr="0056711F" w:rsidRDefault="0056711F" w:rsidP="006B6188">
            <w:pPr>
              <w:jc w:val="right"/>
            </w:pPr>
            <w:r w:rsidRPr="0056711F">
              <w:t>0</w:t>
            </w:r>
          </w:p>
        </w:tc>
      </w:tr>
      <w:tr w:rsidR="008C4829" w:rsidRPr="008C4829" w:rsidTr="007C0A39">
        <w:trPr>
          <w:trHeight w:val="300"/>
        </w:trPr>
        <w:tc>
          <w:tcPr>
            <w:tcW w:w="3140" w:type="dxa"/>
            <w:shd w:val="clear" w:color="auto" w:fill="auto"/>
            <w:noWrap/>
            <w:vAlign w:val="bottom"/>
          </w:tcPr>
          <w:p w:rsidR="006B6188" w:rsidRPr="0056711F" w:rsidRDefault="008B112E" w:rsidP="006B6188">
            <w:pPr>
              <w:rPr>
                <w:b/>
              </w:rPr>
            </w:pPr>
            <w:r w:rsidRPr="0056711F">
              <w:rPr>
                <w:b/>
              </w:rPr>
              <w:t>TOTALE</w:t>
            </w:r>
            <w:r w:rsidR="0056711F">
              <w:rPr>
                <w:b/>
              </w:rPr>
              <w:t xml:space="preserve"> T.I.</w:t>
            </w:r>
          </w:p>
        </w:tc>
        <w:tc>
          <w:tcPr>
            <w:tcW w:w="1610" w:type="dxa"/>
            <w:shd w:val="clear" w:color="auto" w:fill="auto"/>
            <w:noWrap/>
            <w:vAlign w:val="bottom"/>
          </w:tcPr>
          <w:p w:rsidR="006B6188" w:rsidRPr="0056711F" w:rsidRDefault="0056711F" w:rsidP="006B6188">
            <w:pPr>
              <w:jc w:val="right"/>
              <w:rPr>
                <w:b/>
              </w:rPr>
            </w:pPr>
            <w:r w:rsidRPr="0056711F">
              <w:rPr>
                <w:b/>
              </w:rPr>
              <w:t>542</w:t>
            </w:r>
          </w:p>
        </w:tc>
        <w:tc>
          <w:tcPr>
            <w:tcW w:w="1850" w:type="dxa"/>
            <w:shd w:val="clear" w:color="auto" w:fill="auto"/>
            <w:noWrap/>
            <w:vAlign w:val="bottom"/>
          </w:tcPr>
          <w:p w:rsidR="006B6188" w:rsidRPr="0056711F" w:rsidRDefault="0056711F" w:rsidP="006B6188">
            <w:pPr>
              <w:jc w:val="right"/>
              <w:rPr>
                <w:b/>
              </w:rPr>
            </w:pPr>
            <w:r w:rsidRPr="0056711F">
              <w:rPr>
                <w:b/>
              </w:rPr>
              <w:t>534</w:t>
            </w:r>
          </w:p>
        </w:tc>
        <w:tc>
          <w:tcPr>
            <w:tcW w:w="1220" w:type="dxa"/>
            <w:shd w:val="clear" w:color="auto" w:fill="auto"/>
            <w:noWrap/>
            <w:vAlign w:val="bottom"/>
          </w:tcPr>
          <w:p w:rsidR="006B6188" w:rsidRPr="0056711F" w:rsidRDefault="0056711F" w:rsidP="006B6188">
            <w:pPr>
              <w:jc w:val="right"/>
              <w:rPr>
                <w:b/>
              </w:rPr>
            </w:pPr>
            <w:r>
              <w:rPr>
                <w:b/>
              </w:rPr>
              <w:t>-8</w:t>
            </w:r>
          </w:p>
        </w:tc>
      </w:tr>
      <w:tr w:rsidR="008C4829" w:rsidRPr="008C4829" w:rsidTr="007C0A39">
        <w:trPr>
          <w:trHeight w:val="300"/>
        </w:trPr>
        <w:tc>
          <w:tcPr>
            <w:tcW w:w="7820" w:type="dxa"/>
            <w:gridSpan w:val="4"/>
            <w:shd w:val="clear" w:color="auto" w:fill="auto"/>
            <w:noWrap/>
            <w:vAlign w:val="bottom"/>
          </w:tcPr>
          <w:p w:rsidR="006B6188" w:rsidRPr="008C4829" w:rsidRDefault="006B6188" w:rsidP="006B6188">
            <w:pPr>
              <w:jc w:val="center"/>
              <w:rPr>
                <w:color w:val="548DD4" w:themeColor="text2" w:themeTint="99"/>
              </w:rPr>
            </w:pPr>
            <w:r w:rsidRPr="008B112E">
              <w:rPr>
                <w:b/>
              </w:rPr>
              <w:t>Personale</w:t>
            </w:r>
            <w:r w:rsidR="00E75555" w:rsidRPr="008B112E">
              <w:rPr>
                <w:b/>
              </w:rPr>
              <w:t xml:space="preserve"> dipendente </w:t>
            </w:r>
            <w:r w:rsidRPr="008B112E">
              <w:rPr>
                <w:b/>
              </w:rPr>
              <w:t>a tempo determinato</w:t>
            </w:r>
          </w:p>
        </w:tc>
      </w:tr>
      <w:tr w:rsidR="008C4829" w:rsidRPr="008C4829" w:rsidTr="007C0A39">
        <w:trPr>
          <w:trHeight w:val="300"/>
        </w:trPr>
        <w:tc>
          <w:tcPr>
            <w:tcW w:w="3140" w:type="dxa"/>
            <w:shd w:val="clear" w:color="auto" w:fill="auto"/>
            <w:noWrap/>
            <w:vAlign w:val="bottom"/>
          </w:tcPr>
          <w:p w:rsidR="006B6188" w:rsidRPr="008B112E" w:rsidRDefault="006B6188" w:rsidP="006B6188">
            <w:r w:rsidRPr="008B112E">
              <w:t>Dirigenti a t.d. (incluso D.G.)</w:t>
            </w:r>
          </w:p>
        </w:tc>
        <w:tc>
          <w:tcPr>
            <w:tcW w:w="1610" w:type="dxa"/>
            <w:shd w:val="clear" w:color="auto" w:fill="auto"/>
            <w:noWrap/>
            <w:vAlign w:val="bottom"/>
          </w:tcPr>
          <w:p w:rsidR="006B6188" w:rsidRPr="0056711F" w:rsidRDefault="0056711F" w:rsidP="006B6188">
            <w:pPr>
              <w:jc w:val="right"/>
            </w:pPr>
            <w:r w:rsidRPr="0056711F">
              <w:t>2</w:t>
            </w:r>
          </w:p>
        </w:tc>
        <w:tc>
          <w:tcPr>
            <w:tcW w:w="1850" w:type="dxa"/>
            <w:shd w:val="clear" w:color="auto" w:fill="auto"/>
            <w:noWrap/>
            <w:vAlign w:val="bottom"/>
          </w:tcPr>
          <w:p w:rsidR="006B6188" w:rsidRPr="0056711F" w:rsidRDefault="006B6188" w:rsidP="006B6188">
            <w:pPr>
              <w:jc w:val="right"/>
            </w:pPr>
            <w:r w:rsidRPr="0056711F">
              <w:t>2</w:t>
            </w:r>
          </w:p>
        </w:tc>
        <w:tc>
          <w:tcPr>
            <w:tcW w:w="1220" w:type="dxa"/>
            <w:shd w:val="clear" w:color="auto" w:fill="auto"/>
            <w:noWrap/>
            <w:vAlign w:val="bottom"/>
          </w:tcPr>
          <w:p w:rsidR="006B6188" w:rsidRPr="008C4829" w:rsidRDefault="0056711F" w:rsidP="006B6188">
            <w:pPr>
              <w:jc w:val="right"/>
              <w:rPr>
                <w:color w:val="548DD4" w:themeColor="text2" w:themeTint="99"/>
              </w:rPr>
            </w:pPr>
            <w:r w:rsidRPr="0056711F">
              <w:t>0</w:t>
            </w:r>
          </w:p>
        </w:tc>
      </w:tr>
      <w:tr w:rsidR="008C4829" w:rsidRPr="008C4829" w:rsidTr="007C0A39">
        <w:trPr>
          <w:trHeight w:val="300"/>
        </w:trPr>
        <w:tc>
          <w:tcPr>
            <w:tcW w:w="3140" w:type="dxa"/>
            <w:shd w:val="clear" w:color="auto" w:fill="auto"/>
            <w:noWrap/>
            <w:vAlign w:val="bottom"/>
            <w:hideMark/>
          </w:tcPr>
          <w:p w:rsidR="00750255" w:rsidRPr="008B112E" w:rsidRDefault="00750255" w:rsidP="00750255">
            <w:r w:rsidRPr="008B112E">
              <w:t>Ricercatori</w:t>
            </w:r>
            <w:r w:rsidR="0056711F">
              <w:t xml:space="preserve"> A</w:t>
            </w:r>
            <w:r w:rsidRPr="008B112E">
              <w:t xml:space="preserve"> Legge 240/10 - t. det.</w:t>
            </w:r>
            <w:r w:rsidR="0056711F">
              <w:t xml:space="preserve"> </w:t>
            </w:r>
          </w:p>
        </w:tc>
        <w:tc>
          <w:tcPr>
            <w:tcW w:w="1610" w:type="dxa"/>
            <w:shd w:val="clear" w:color="auto" w:fill="auto"/>
            <w:noWrap/>
            <w:vAlign w:val="bottom"/>
            <w:hideMark/>
          </w:tcPr>
          <w:p w:rsidR="00750255" w:rsidRPr="00BE59D3" w:rsidRDefault="00BE59D3" w:rsidP="00750255">
            <w:pPr>
              <w:jc w:val="right"/>
            </w:pPr>
            <w:r w:rsidRPr="00BE59D3">
              <w:t>29</w:t>
            </w:r>
          </w:p>
        </w:tc>
        <w:tc>
          <w:tcPr>
            <w:tcW w:w="1850" w:type="dxa"/>
            <w:shd w:val="clear" w:color="auto" w:fill="auto"/>
            <w:noWrap/>
            <w:vAlign w:val="bottom"/>
            <w:hideMark/>
          </w:tcPr>
          <w:p w:rsidR="00750255" w:rsidRPr="00BE59D3" w:rsidRDefault="00BE59D3" w:rsidP="00750255">
            <w:pPr>
              <w:jc w:val="right"/>
            </w:pPr>
            <w:r w:rsidRPr="00BE59D3">
              <w:t>31</w:t>
            </w:r>
          </w:p>
        </w:tc>
        <w:tc>
          <w:tcPr>
            <w:tcW w:w="1220" w:type="dxa"/>
            <w:shd w:val="clear" w:color="auto" w:fill="auto"/>
            <w:noWrap/>
            <w:vAlign w:val="bottom"/>
            <w:hideMark/>
          </w:tcPr>
          <w:p w:rsidR="00750255" w:rsidRPr="00BE59D3" w:rsidRDefault="00BE59D3" w:rsidP="00750255">
            <w:pPr>
              <w:jc w:val="right"/>
            </w:pPr>
            <w:r w:rsidRPr="00BE59D3">
              <w:t>2</w:t>
            </w:r>
          </w:p>
        </w:tc>
      </w:tr>
      <w:tr w:rsidR="0056711F" w:rsidRPr="008C4829" w:rsidTr="007C0A39">
        <w:trPr>
          <w:trHeight w:val="300"/>
        </w:trPr>
        <w:tc>
          <w:tcPr>
            <w:tcW w:w="3140" w:type="dxa"/>
            <w:shd w:val="clear" w:color="auto" w:fill="auto"/>
            <w:noWrap/>
            <w:vAlign w:val="bottom"/>
          </w:tcPr>
          <w:p w:rsidR="0056711F" w:rsidRDefault="0056711F" w:rsidP="00750255">
            <w:pPr>
              <w:rPr>
                <w:b/>
              </w:rPr>
            </w:pPr>
            <w:r w:rsidRPr="008B112E">
              <w:t>Ricercatori</w:t>
            </w:r>
            <w:r w:rsidR="00BE59D3">
              <w:t xml:space="preserve"> B</w:t>
            </w:r>
            <w:r w:rsidRPr="008B112E">
              <w:t xml:space="preserve"> Legge 240/10 - t. det.</w:t>
            </w:r>
          </w:p>
        </w:tc>
        <w:tc>
          <w:tcPr>
            <w:tcW w:w="1610" w:type="dxa"/>
            <w:shd w:val="clear" w:color="auto" w:fill="auto"/>
            <w:noWrap/>
            <w:vAlign w:val="bottom"/>
          </w:tcPr>
          <w:p w:rsidR="0056711F" w:rsidRPr="00BE59D3" w:rsidRDefault="00BE59D3" w:rsidP="00750255">
            <w:pPr>
              <w:jc w:val="right"/>
            </w:pPr>
            <w:r w:rsidRPr="00BE59D3">
              <w:t>0</w:t>
            </w:r>
          </w:p>
        </w:tc>
        <w:tc>
          <w:tcPr>
            <w:tcW w:w="1850" w:type="dxa"/>
            <w:shd w:val="clear" w:color="auto" w:fill="auto"/>
            <w:noWrap/>
            <w:vAlign w:val="bottom"/>
          </w:tcPr>
          <w:p w:rsidR="0056711F" w:rsidRPr="00BE59D3" w:rsidRDefault="00BE59D3" w:rsidP="00750255">
            <w:pPr>
              <w:jc w:val="right"/>
            </w:pPr>
            <w:r w:rsidRPr="00BE59D3">
              <w:t>3</w:t>
            </w:r>
          </w:p>
        </w:tc>
        <w:tc>
          <w:tcPr>
            <w:tcW w:w="1220" w:type="dxa"/>
            <w:shd w:val="clear" w:color="auto" w:fill="auto"/>
            <w:noWrap/>
            <w:vAlign w:val="bottom"/>
          </w:tcPr>
          <w:p w:rsidR="0056711F" w:rsidRPr="00BE59D3" w:rsidRDefault="00BE59D3" w:rsidP="00750255">
            <w:pPr>
              <w:jc w:val="right"/>
            </w:pPr>
            <w:r w:rsidRPr="00BE59D3">
              <w:t>3</w:t>
            </w:r>
          </w:p>
        </w:tc>
      </w:tr>
      <w:tr w:rsidR="0056711F" w:rsidRPr="008C4829" w:rsidTr="007C0A39">
        <w:trPr>
          <w:trHeight w:val="300"/>
        </w:trPr>
        <w:tc>
          <w:tcPr>
            <w:tcW w:w="3140" w:type="dxa"/>
            <w:shd w:val="clear" w:color="auto" w:fill="auto"/>
            <w:noWrap/>
            <w:vAlign w:val="bottom"/>
          </w:tcPr>
          <w:p w:rsidR="0056711F" w:rsidRPr="008B112E" w:rsidRDefault="0056711F" w:rsidP="00750255">
            <w:pPr>
              <w:rPr>
                <w:b/>
              </w:rPr>
            </w:pPr>
            <w:r>
              <w:rPr>
                <w:b/>
              </w:rPr>
              <w:t>TOTALE T.D.</w:t>
            </w:r>
          </w:p>
        </w:tc>
        <w:tc>
          <w:tcPr>
            <w:tcW w:w="1610" w:type="dxa"/>
            <w:shd w:val="clear" w:color="auto" w:fill="auto"/>
            <w:noWrap/>
            <w:vAlign w:val="bottom"/>
          </w:tcPr>
          <w:p w:rsidR="0056711F" w:rsidRPr="00BE59D3" w:rsidRDefault="00BE59D3" w:rsidP="00750255">
            <w:pPr>
              <w:jc w:val="right"/>
              <w:rPr>
                <w:b/>
              </w:rPr>
            </w:pPr>
            <w:r w:rsidRPr="00BE59D3">
              <w:rPr>
                <w:b/>
              </w:rPr>
              <w:t>31</w:t>
            </w:r>
          </w:p>
        </w:tc>
        <w:tc>
          <w:tcPr>
            <w:tcW w:w="1850" w:type="dxa"/>
            <w:shd w:val="clear" w:color="auto" w:fill="auto"/>
            <w:noWrap/>
            <w:vAlign w:val="bottom"/>
          </w:tcPr>
          <w:p w:rsidR="0056711F" w:rsidRPr="00BE59D3" w:rsidRDefault="00BE59D3" w:rsidP="00750255">
            <w:pPr>
              <w:jc w:val="right"/>
              <w:rPr>
                <w:b/>
              </w:rPr>
            </w:pPr>
            <w:r w:rsidRPr="00BE59D3">
              <w:rPr>
                <w:b/>
              </w:rPr>
              <w:t>36</w:t>
            </w:r>
          </w:p>
        </w:tc>
        <w:tc>
          <w:tcPr>
            <w:tcW w:w="1220" w:type="dxa"/>
            <w:shd w:val="clear" w:color="auto" w:fill="auto"/>
            <w:noWrap/>
            <w:vAlign w:val="bottom"/>
          </w:tcPr>
          <w:p w:rsidR="0056711F" w:rsidRPr="008C4829" w:rsidRDefault="00BE59D3" w:rsidP="00750255">
            <w:pPr>
              <w:jc w:val="right"/>
              <w:rPr>
                <w:b/>
                <w:color w:val="548DD4" w:themeColor="text2" w:themeTint="99"/>
              </w:rPr>
            </w:pPr>
            <w:r w:rsidRPr="00BE59D3">
              <w:rPr>
                <w:b/>
              </w:rPr>
              <w:t>5</w:t>
            </w:r>
          </w:p>
        </w:tc>
      </w:tr>
      <w:tr w:rsidR="00750255" w:rsidRPr="008C4829" w:rsidTr="007C0A39">
        <w:trPr>
          <w:trHeight w:val="300"/>
        </w:trPr>
        <w:tc>
          <w:tcPr>
            <w:tcW w:w="3140" w:type="dxa"/>
            <w:shd w:val="clear" w:color="auto" w:fill="auto"/>
            <w:noWrap/>
            <w:vAlign w:val="bottom"/>
            <w:hideMark/>
          </w:tcPr>
          <w:p w:rsidR="00750255" w:rsidRPr="008B112E" w:rsidRDefault="00750255" w:rsidP="00750255">
            <w:pPr>
              <w:rPr>
                <w:b/>
              </w:rPr>
            </w:pPr>
            <w:r w:rsidRPr="008B112E">
              <w:rPr>
                <w:b/>
              </w:rPr>
              <w:t>Totale complessivo</w:t>
            </w:r>
          </w:p>
        </w:tc>
        <w:tc>
          <w:tcPr>
            <w:tcW w:w="1610" w:type="dxa"/>
            <w:shd w:val="clear" w:color="auto" w:fill="auto"/>
            <w:noWrap/>
            <w:vAlign w:val="bottom"/>
            <w:hideMark/>
          </w:tcPr>
          <w:p w:rsidR="00750255" w:rsidRPr="008C4829" w:rsidRDefault="006C1786" w:rsidP="00750255">
            <w:pPr>
              <w:jc w:val="right"/>
              <w:rPr>
                <w:b/>
                <w:color w:val="548DD4" w:themeColor="text2" w:themeTint="99"/>
              </w:rPr>
            </w:pPr>
            <w:r w:rsidRPr="006C1786">
              <w:rPr>
                <w:b/>
              </w:rPr>
              <w:t>573</w:t>
            </w:r>
          </w:p>
        </w:tc>
        <w:tc>
          <w:tcPr>
            <w:tcW w:w="1850" w:type="dxa"/>
            <w:shd w:val="clear" w:color="auto" w:fill="auto"/>
            <w:noWrap/>
            <w:vAlign w:val="bottom"/>
            <w:hideMark/>
          </w:tcPr>
          <w:p w:rsidR="00750255" w:rsidRPr="008C4829" w:rsidRDefault="006C1786" w:rsidP="00750255">
            <w:pPr>
              <w:jc w:val="right"/>
              <w:rPr>
                <w:b/>
                <w:color w:val="548DD4" w:themeColor="text2" w:themeTint="99"/>
              </w:rPr>
            </w:pPr>
            <w:r w:rsidRPr="006C1786">
              <w:rPr>
                <w:b/>
              </w:rPr>
              <w:t>570</w:t>
            </w:r>
          </w:p>
        </w:tc>
        <w:tc>
          <w:tcPr>
            <w:tcW w:w="1220" w:type="dxa"/>
            <w:shd w:val="clear" w:color="auto" w:fill="auto"/>
            <w:noWrap/>
            <w:vAlign w:val="bottom"/>
            <w:hideMark/>
          </w:tcPr>
          <w:p w:rsidR="00750255" w:rsidRPr="008C4829" w:rsidRDefault="006C1786" w:rsidP="00750255">
            <w:pPr>
              <w:jc w:val="right"/>
              <w:rPr>
                <w:b/>
                <w:color w:val="548DD4" w:themeColor="text2" w:themeTint="99"/>
              </w:rPr>
            </w:pPr>
            <w:r w:rsidRPr="006C1786">
              <w:rPr>
                <w:b/>
              </w:rPr>
              <w:t>-3</w:t>
            </w:r>
          </w:p>
        </w:tc>
      </w:tr>
    </w:tbl>
    <w:p w:rsidR="00750255" w:rsidRPr="008C4829" w:rsidRDefault="00750255" w:rsidP="00BB282E">
      <w:pPr>
        <w:jc w:val="both"/>
        <w:rPr>
          <w:b/>
          <w:color w:val="548DD4" w:themeColor="text2" w:themeTint="99"/>
          <w:sz w:val="24"/>
          <w:szCs w:val="24"/>
        </w:rPr>
      </w:pPr>
    </w:p>
    <w:p w:rsidR="00DA62A9" w:rsidRDefault="00DA62A9" w:rsidP="00BB282E">
      <w:pPr>
        <w:jc w:val="both"/>
        <w:rPr>
          <w:b/>
          <w:color w:val="548DD4" w:themeColor="text2" w:themeTint="99"/>
          <w:sz w:val="24"/>
          <w:szCs w:val="24"/>
        </w:rPr>
      </w:pPr>
    </w:p>
    <w:p w:rsidR="006C761D" w:rsidRDefault="006C761D" w:rsidP="00BB282E">
      <w:pPr>
        <w:jc w:val="both"/>
        <w:rPr>
          <w:b/>
          <w:color w:val="548DD4" w:themeColor="text2" w:themeTint="99"/>
          <w:sz w:val="24"/>
          <w:szCs w:val="24"/>
        </w:rPr>
      </w:pPr>
    </w:p>
    <w:p w:rsidR="001C4B47" w:rsidRPr="00076C41" w:rsidRDefault="001C4B47" w:rsidP="001108F0">
      <w:pPr>
        <w:pStyle w:val="Titolo3"/>
        <w:ind w:left="0"/>
        <w:jc w:val="both"/>
        <w:rPr>
          <w:i/>
        </w:rPr>
      </w:pPr>
      <w:bookmarkStart w:id="13" w:name="_Toc469659521"/>
      <w:r w:rsidRPr="00076C41">
        <w:rPr>
          <w:i/>
        </w:rPr>
        <w:lastRenderedPageBreak/>
        <w:t>2.2.3 Costi per il diritto allo studio</w:t>
      </w:r>
      <w:bookmarkEnd w:id="13"/>
    </w:p>
    <w:p w:rsidR="001C4B47" w:rsidRPr="00076C41" w:rsidRDefault="001C4B47" w:rsidP="00076C41">
      <w:pPr>
        <w:pStyle w:val="Titolo3"/>
        <w:jc w:val="both"/>
        <w:rPr>
          <w:i/>
        </w:rPr>
      </w:pPr>
    </w:p>
    <w:p w:rsidR="00610F26" w:rsidRDefault="00610F26" w:rsidP="001C4B47">
      <w:pPr>
        <w:ind w:firstLine="720"/>
        <w:jc w:val="both"/>
        <w:rPr>
          <w:sz w:val="24"/>
          <w:szCs w:val="24"/>
        </w:rPr>
      </w:pPr>
      <w:r>
        <w:rPr>
          <w:sz w:val="24"/>
          <w:szCs w:val="24"/>
        </w:rPr>
        <w:t>I costi per il diritto allo studio sono ricompresi nelle categorie dalla CA.04.46.05 alla CA.04.46.08. Inoltre, vi sono delle poste nella parte degli investimenti, in relazione al potenziamento delle biblioteche.</w:t>
      </w:r>
    </w:p>
    <w:p w:rsidR="001C4B47" w:rsidRDefault="00610F26" w:rsidP="001C4B47">
      <w:pPr>
        <w:ind w:firstLine="720"/>
        <w:jc w:val="both"/>
        <w:rPr>
          <w:sz w:val="24"/>
          <w:szCs w:val="24"/>
        </w:rPr>
      </w:pPr>
      <w:r>
        <w:rPr>
          <w:sz w:val="24"/>
          <w:szCs w:val="24"/>
        </w:rPr>
        <w:t>Sul piano dei costi di esercizio, s</w:t>
      </w:r>
      <w:r w:rsidR="001C4B47">
        <w:rPr>
          <w:sz w:val="24"/>
          <w:szCs w:val="24"/>
        </w:rPr>
        <w:t>i sono effettuate previsioni costanti per il triennio di</w:t>
      </w:r>
      <w:r w:rsidR="009E2F02">
        <w:rPr>
          <w:sz w:val="24"/>
          <w:szCs w:val="24"/>
        </w:rPr>
        <w:t xml:space="preserve"> riferimento, non sussistendo particolari elementi di discontinuità rispetto sia alle stime connesse con fondi aventi vincolo di destinazione, sia a risorse d’Ateneo destinate al diritto allo studio.</w:t>
      </w:r>
    </w:p>
    <w:p w:rsidR="00610F26" w:rsidRDefault="00610F26" w:rsidP="001C4B47">
      <w:pPr>
        <w:ind w:firstLine="720"/>
        <w:jc w:val="both"/>
        <w:rPr>
          <w:sz w:val="24"/>
          <w:szCs w:val="24"/>
        </w:rPr>
      </w:pPr>
      <w:r>
        <w:rPr>
          <w:sz w:val="24"/>
          <w:szCs w:val="24"/>
        </w:rPr>
        <w:t xml:space="preserve">A riguardo, invece, delle borse di Dottorato e di altre borse </w:t>
      </w:r>
      <w:r w:rsidRPr="00610F26">
        <w:rPr>
          <w:i/>
          <w:sz w:val="24"/>
          <w:szCs w:val="24"/>
        </w:rPr>
        <w:t>post lauream</w:t>
      </w:r>
      <w:r>
        <w:rPr>
          <w:sz w:val="24"/>
          <w:szCs w:val="24"/>
        </w:rPr>
        <w:t>, la previsione ha un andamento decrescente nel triennio, in quanto i valori inseriti si riferiscono unicamente ai cicli attivi. Gli importi saranno oggetto di revisione, sulla base dei finanziamenti connessi con i cicli che si attiveranno negli anni a venire.</w:t>
      </w:r>
    </w:p>
    <w:p w:rsidR="00FC3AB8" w:rsidRDefault="00FC3AB8" w:rsidP="001C4B47">
      <w:pPr>
        <w:ind w:firstLine="720"/>
        <w:jc w:val="both"/>
        <w:rPr>
          <w:sz w:val="24"/>
          <w:szCs w:val="24"/>
        </w:rPr>
      </w:pPr>
    </w:p>
    <w:p w:rsidR="00095D8A" w:rsidRDefault="00095D8A" w:rsidP="001C4B47">
      <w:pPr>
        <w:ind w:firstLine="720"/>
        <w:jc w:val="both"/>
        <w:rPr>
          <w:b/>
          <w:i/>
          <w:sz w:val="24"/>
          <w:szCs w:val="24"/>
        </w:rPr>
      </w:pPr>
    </w:p>
    <w:p w:rsidR="00095D8A" w:rsidRDefault="00095D8A" w:rsidP="001C4B47">
      <w:pPr>
        <w:ind w:firstLine="720"/>
        <w:jc w:val="both"/>
        <w:rPr>
          <w:b/>
          <w:i/>
          <w:sz w:val="24"/>
          <w:szCs w:val="24"/>
        </w:rPr>
      </w:pPr>
    </w:p>
    <w:p w:rsidR="00FC3AB8" w:rsidRPr="00076C41" w:rsidRDefault="00FC3AB8" w:rsidP="001108F0">
      <w:pPr>
        <w:pStyle w:val="Titolo3"/>
        <w:ind w:left="0"/>
        <w:jc w:val="both"/>
        <w:rPr>
          <w:i/>
        </w:rPr>
      </w:pPr>
      <w:bookmarkStart w:id="14" w:name="_Toc469659522"/>
      <w:r w:rsidRPr="00076C41">
        <w:rPr>
          <w:i/>
        </w:rPr>
        <w:t>2.2.4 Altri costi d’esercizio</w:t>
      </w:r>
      <w:bookmarkEnd w:id="14"/>
    </w:p>
    <w:p w:rsidR="00FC3AB8" w:rsidRDefault="00FC3AB8" w:rsidP="001C4B47">
      <w:pPr>
        <w:ind w:firstLine="720"/>
        <w:jc w:val="both"/>
        <w:rPr>
          <w:b/>
          <w:i/>
          <w:sz w:val="24"/>
          <w:szCs w:val="24"/>
        </w:rPr>
      </w:pPr>
    </w:p>
    <w:p w:rsidR="00DA521C" w:rsidRDefault="00FC3AB8" w:rsidP="001C4B47">
      <w:pPr>
        <w:ind w:firstLine="720"/>
        <w:jc w:val="both"/>
        <w:rPr>
          <w:sz w:val="24"/>
          <w:szCs w:val="24"/>
        </w:rPr>
      </w:pPr>
      <w:r>
        <w:rPr>
          <w:sz w:val="24"/>
          <w:szCs w:val="24"/>
        </w:rPr>
        <w:t xml:space="preserve">Gli altri costi di esercizio comprendono i costi per consumi intermedi (cancelleria, materiali non inventariabile per uffici e laboratori, etc.), i costi per servizi riferibili a ciascun anno e </w:t>
      </w:r>
      <w:r w:rsidR="00DA521C">
        <w:rPr>
          <w:sz w:val="24"/>
          <w:szCs w:val="24"/>
        </w:rPr>
        <w:t>quelli relativi a</w:t>
      </w:r>
      <w:r>
        <w:rPr>
          <w:sz w:val="24"/>
          <w:szCs w:val="24"/>
        </w:rPr>
        <w:t xml:space="preserve"> contratti pluriennali per utenze</w:t>
      </w:r>
      <w:r w:rsidR="00DA521C">
        <w:rPr>
          <w:sz w:val="24"/>
          <w:szCs w:val="24"/>
        </w:rPr>
        <w:t xml:space="preserve"> e canoni.</w:t>
      </w:r>
    </w:p>
    <w:p w:rsidR="00FC3AB8" w:rsidRDefault="00DA521C" w:rsidP="001C4B47">
      <w:pPr>
        <w:ind w:firstLine="720"/>
        <w:jc w:val="both"/>
        <w:rPr>
          <w:sz w:val="24"/>
          <w:szCs w:val="24"/>
        </w:rPr>
      </w:pPr>
      <w:r>
        <w:rPr>
          <w:sz w:val="24"/>
          <w:szCs w:val="24"/>
        </w:rPr>
        <w:t>Sembra altresì utile menzionare l’acquisto di libri, che, sulla base di quanto previsto nel citato Decreto n.19/2014, sono imputati a costo di esercizio. Del resto, l’ampia e crescente diffusione delle banche dati elettroniche per l’accesso a fonti bibliografiche appare coerente con l’imputazione a costo di esercizio anche dei volumi cartacei, i quali oltretutto sono spesso esposti a rapida usura nell’uso quotidiano.</w:t>
      </w:r>
    </w:p>
    <w:p w:rsidR="00DA521C" w:rsidRDefault="00DA521C" w:rsidP="001C4B47">
      <w:pPr>
        <w:ind w:firstLine="720"/>
        <w:jc w:val="both"/>
        <w:rPr>
          <w:sz w:val="24"/>
          <w:szCs w:val="24"/>
        </w:rPr>
      </w:pPr>
      <w:r w:rsidRPr="006D3924">
        <w:rPr>
          <w:sz w:val="24"/>
          <w:szCs w:val="24"/>
        </w:rPr>
        <w:t xml:space="preserve">In tal senso, fanno eccezione i volumi e le collezioni scientifiche di particolare pregio o </w:t>
      </w:r>
      <w:r w:rsidR="00C60166" w:rsidRPr="006D3924">
        <w:rPr>
          <w:sz w:val="24"/>
          <w:szCs w:val="24"/>
        </w:rPr>
        <w:t xml:space="preserve">di notevole </w:t>
      </w:r>
      <w:r w:rsidRPr="006D3924">
        <w:rPr>
          <w:sz w:val="24"/>
          <w:szCs w:val="24"/>
        </w:rPr>
        <w:t>valore storico</w:t>
      </w:r>
      <w:r w:rsidR="00C60166" w:rsidRPr="006D3924">
        <w:rPr>
          <w:sz w:val="24"/>
          <w:szCs w:val="24"/>
        </w:rPr>
        <w:t>, ad inclusione del patrimonio librario “ereditato” dalla gestione finanziaria, inserito in apposita posta dello Stato Patrimoniale e non sottoposto ad ammortamento.</w:t>
      </w:r>
    </w:p>
    <w:p w:rsidR="006D3924" w:rsidRDefault="006D3924" w:rsidP="001C4B47">
      <w:pPr>
        <w:ind w:firstLine="720"/>
        <w:jc w:val="both"/>
        <w:rPr>
          <w:sz w:val="24"/>
          <w:szCs w:val="24"/>
        </w:rPr>
      </w:pPr>
      <w:r>
        <w:rPr>
          <w:sz w:val="24"/>
          <w:szCs w:val="24"/>
        </w:rPr>
        <w:t xml:space="preserve">In generale, i costi sono stimati sulla base del </w:t>
      </w:r>
      <w:r w:rsidRPr="006D3924">
        <w:rPr>
          <w:i/>
          <w:sz w:val="24"/>
          <w:szCs w:val="24"/>
        </w:rPr>
        <w:t>trend</w:t>
      </w:r>
      <w:r>
        <w:rPr>
          <w:i/>
          <w:sz w:val="24"/>
          <w:szCs w:val="24"/>
        </w:rPr>
        <w:t xml:space="preserve"> </w:t>
      </w:r>
      <w:r>
        <w:rPr>
          <w:sz w:val="24"/>
          <w:szCs w:val="24"/>
        </w:rPr>
        <w:t>degli ultimi anni, nel caso di consumi e servizi riferibili al singolo esercizio, e dei contratti in essere o di imminente stipula per utenze e canoni pluriennali. Per questi ultimi, si è fatto comunque riferimento al pri</w:t>
      </w:r>
      <w:r w:rsidR="00B61736">
        <w:rPr>
          <w:sz w:val="24"/>
          <w:szCs w:val="24"/>
        </w:rPr>
        <w:t>ncipio di competenza economica nell’imputazione degli importi ai vari esercizi.</w:t>
      </w:r>
    </w:p>
    <w:p w:rsidR="009324A6" w:rsidRDefault="00B61736" w:rsidP="00ED4759">
      <w:pPr>
        <w:ind w:firstLine="720"/>
        <w:jc w:val="both"/>
        <w:rPr>
          <w:sz w:val="24"/>
          <w:szCs w:val="24"/>
        </w:rPr>
      </w:pPr>
      <w:r>
        <w:rPr>
          <w:sz w:val="24"/>
          <w:szCs w:val="24"/>
        </w:rPr>
        <w:t xml:space="preserve">Infine, è opportuno specificare che i costi in questione non sono unicamente rappresentativi di attività e consumi “routinari”. Infatti, </w:t>
      </w:r>
      <w:r w:rsidR="00ED4759">
        <w:rPr>
          <w:sz w:val="24"/>
          <w:szCs w:val="24"/>
        </w:rPr>
        <w:t>nei limiti</w:t>
      </w:r>
      <w:r>
        <w:rPr>
          <w:sz w:val="24"/>
          <w:szCs w:val="24"/>
        </w:rPr>
        <w:t xml:space="preserve"> delle proprie possibilità economiche, l’Amministrazione è fortemente orientata </w:t>
      </w:r>
      <w:r w:rsidR="00AE18D1">
        <w:rPr>
          <w:sz w:val="24"/>
          <w:szCs w:val="24"/>
        </w:rPr>
        <w:t xml:space="preserve">all’innovazione e </w:t>
      </w:r>
      <w:r>
        <w:rPr>
          <w:sz w:val="24"/>
          <w:szCs w:val="24"/>
        </w:rPr>
        <w:t>all’informatizzazione dei processi. Tale circostanza, in certa misura, si riflette anche sui costi di esercizio, oltre che sugli investimenti, in quanto</w:t>
      </w:r>
      <w:r w:rsidR="00AE18D1">
        <w:rPr>
          <w:sz w:val="24"/>
          <w:szCs w:val="24"/>
        </w:rPr>
        <w:t xml:space="preserve"> parte delle azioni intraprese si traducono nella sottoscrizione di contratti per la fornitura di servizi </w:t>
      </w:r>
      <w:r w:rsidR="00AE18D1" w:rsidRPr="00AE18D1">
        <w:rPr>
          <w:i/>
          <w:sz w:val="24"/>
          <w:szCs w:val="24"/>
        </w:rPr>
        <w:t>on line</w:t>
      </w:r>
      <w:r w:rsidR="00ED4759" w:rsidRPr="00ED4759">
        <w:rPr>
          <w:sz w:val="24"/>
          <w:szCs w:val="24"/>
        </w:rPr>
        <w:t>, anche di tipo sperimentale.</w:t>
      </w:r>
    </w:p>
    <w:p w:rsidR="00095D8A" w:rsidRDefault="00095D8A" w:rsidP="00ED4759">
      <w:pPr>
        <w:ind w:firstLine="720"/>
        <w:jc w:val="both"/>
        <w:rPr>
          <w:sz w:val="24"/>
          <w:szCs w:val="24"/>
        </w:rPr>
      </w:pPr>
      <w:r w:rsidRPr="00095D8A">
        <w:rPr>
          <w:sz w:val="24"/>
          <w:szCs w:val="24"/>
        </w:rPr>
        <w:t xml:space="preserve">Tra questi sono inclusi gli affidamenti di servizi a terzi, nella voce </w:t>
      </w:r>
      <w:r>
        <w:rPr>
          <w:sz w:val="24"/>
          <w:szCs w:val="24"/>
        </w:rPr>
        <w:t xml:space="preserve">CA.04.41.09.01 </w:t>
      </w:r>
      <w:r w:rsidRPr="00095D8A">
        <w:rPr>
          <w:sz w:val="24"/>
          <w:szCs w:val="24"/>
        </w:rPr>
        <w:t>“Prestazioni di servizi tecnico/amministrativi da enti terzi”, che comprendono le prestazioni da CINECA, MICROSOFT</w:t>
      </w:r>
      <w:r w:rsidR="005673D2">
        <w:rPr>
          <w:sz w:val="24"/>
          <w:szCs w:val="24"/>
        </w:rPr>
        <w:t xml:space="preserve">, nonché da </w:t>
      </w:r>
      <w:r>
        <w:rPr>
          <w:sz w:val="24"/>
          <w:szCs w:val="24"/>
        </w:rPr>
        <w:t>altre società informatiche</w:t>
      </w:r>
      <w:r w:rsidR="005673D2">
        <w:rPr>
          <w:sz w:val="24"/>
          <w:szCs w:val="24"/>
        </w:rPr>
        <w:t xml:space="preserve"> e di telecomunicazione</w:t>
      </w:r>
      <w:r>
        <w:rPr>
          <w:sz w:val="24"/>
          <w:szCs w:val="24"/>
        </w:rPr>
        <w:t>.</w:t>
      </w:r>
    </w:p>
    <w:p w:rsidR="00095D8A" w:rsidRPr="00095D8A" w:rsidRDefault="00095D8A" w:rsidP="00ED4759">
      <w:pPr>
        <w:ind w:firstLine="720"/>
        <w:jc w:val="both"/>
        <w:rPr>
          <w:sz w:val="24"/>
          <w:szCs w:val="24"/>
        </w:rPr>
      </w:pPr>
      <w:r>
        <w:rPr>
          <w:sz w:val="24"/>
          <w:szCs w:val="24"/>
        </w:rPr>
        <w:t xml:space="preserve">Infine, </w:t>
      </w:r>
      <w:r w:rsidR="005673D2">
        <w:rPr>
          <w:sz w:val="24"/>
          <w:szCs w:val="24"/>
        </w:rPr>
        <w:t xml:space="preserve">per quanto riguarda le spese ordinarie, è utile citare il </w:t>
      </w:r>
      <w:r w:rsidR="005673D2" w:rsidRPr="005673D2">
        <w:rPr>
          <w:i/>
          <w:sz w:val="24"/>
          <w:szCs w:val="24"/>
        </w:rPr>
        <w:t>Project Financing</w:t>
      </w:r>
      <w:r w:rsidR="005673D2">
        <w:rPr>
          <w:sz w:val="24"/>
          <w:szCs w:val="24"/>
        </w:rPr>
        <w:t xml:space="preserve">, quale sistema di fornitura congiunta di </w:t>
      </w:r>
      <w:r w:rsidR="00155ADD">
        <w:rPr>
          <w:sz w:val="24"/>
          <w:szCs w:val="24"/>
        </w:rPr>
        <w:t xml:space="preserve">energia elettrica, </w:t>
      </w:r>
      <w:r w:rsidR="005673D2">
        <w:rPr>
          <w:sz w:val="24"/>
          <w:szCs w:val="24"/>
        </w:rPr>
        <w:t>condizionamento</w:t>
      </w:r>
      <w:r w:rsidR="00155ADD">
        <w:rPr>
          <w:sz w:val="24"/>
          <w:szCs w:val="24"/>
        </w:rPr>
        <w:t xml:space="preserve"> e servizi di manutenzione in generale</w:t>
      </w:r>
      <w:r w:rsidR="005673D2">
        <w:rPr>
          <w:sz w:val="24"/>
          <w:szCs w:val="24"/>
        </w:rPr>
        <w:t xml:space="preserve">. </w:t>
      </w:r>
    </w:p>
    <w:p w:rsidR="009324A6" w:rsidRPr="00C11DF3" w:rsidRDefault="00C11DF3" w:rsidP="00BB282E">
      <w:pPr>
        <w:jc w:val="both"/>
        <w:rPr>
          <w:sz w:val="24"/>
          <w:szCs w:val="24"/>
        </w:rPr>
      </w:pPr>
      <w:r>
        <w:rPr>
          <w:b/>
          <w:color w:val="FF0000"/>
          <w:sz w:val="24"/>
          <w:szCs w:val="24"/>
        </w:rPr>
        <w:tab/>
      </w:r>
      <w:r w:rsidRPr="00C11DF3">
        <w:rPr>
          <w:sz w:val="24"/>
          <w:szCs w:val="24"/>
        </w:rPr>
        <w:t xml:space="preserve">In conclusione, si ritiene utile riportare la </w:t>
      </w:r>
      <w:r w:rsidR="00B225A0" w:rsidRPr="00B225A0">
        <w:rPr>
          <w:i/>
          <w:sz w:val="24"/>
          <w:szCs w:val="24"/>
        </w:rPr>
        <w:t>Tabella 9</w:t>
      </w:r>
      <w:r w:rsidRPr="00C11DF3">
        <w:rPr>
          <w:sz w:val="24"/>
          <w:szCs w:val="24"/>
        </w:rPr>
        <w:t>, riepilogativa delle dotazioni assegnate alle strutture decentrate.</w:t>
      </w:r>
    </w:p>
    <w:p w:rsidR="009324A6" w:rsidRDefault="009324A6" w:rsidP="00BB282E">
      <w:pPr>
        <w:jc w:val="both"/>
        <w:rPr>
          <w:b/>
          <w:color w:val="FF0000"/>
          <w:sz w:val="24"/>
          <w:szCs w:val="24"/>
        </w:rPr>
      </w:pPr>
    </w:p>
    <w:p w:rsidR="00C11DF3" w:rsidRPr="0038061B" w:rsidRDefault="00C11DF3" w:rsidP="00C11DF3">
      <w:pPr>
        <w:jc w:val="both"/>
        <w:rPr>
          <w:b/>
        </w:rPr>
      </w:pPr>
      <w:r w:rsidRPr="00B225A0">
        <w:rPr>
          <w:i/>
        </w:rPr>
        <w:t xml:space="preserve">Tabella </w:t>
      </w:r>
      <w:r w:rsidR="00B225A0" w:rsidRPr="00B225A0">
        <w:rPr>
          <w:i/>
        </w:rPr>
        <w:t>9</w:t>
      </w:r>
      <w:r w:rsidRPr="00B225A0">
        <w:rPr>
          <w:i/>
        </w:rPr>
        <w:t xml:space="preserve">: Dotazione </w:t>
      </w:r>
      <w:r>
        <w:rPr>
          <w:i/>
        </w:rPr>
        <w:t>Dipar</w:t>
      </w:r>
      <w:r w:rsidR="00EC0741">
        <w:rPr>
          <w:i/>
        </w:rPr>
        <w:t>t</w:t>
      </w:r>
      <w:r>
        <w:rPr>
          <w:i/>
        </w:rPr>
        <w:t>imenti e Centro Interdipartimentale Magna Grecia</w:t>
      </w:r>
    </w:p>
    <w:p w:rsidR="009324A6" w:rsidRDefault="009324A6" w:rsidP="00BB282E">
      <w:pPr>
        <w:jc w:val="both"/>
        <w:rPr>
          <w:b/>
          <w:color w:val="FF0000"/>
          <w:sz w:val="24"/>
          <w:szCs w:val="24"/>
        </w:rPr>
      </w:pPr>
    </w:p>
    <w:p w:rsidR="009324A6" w:rsidRDefault="009324A6" w:rsidP="00BB282E">
      <w:pPr>
        <w:jc w:val="both"/>
        <w:rPr>
          <w:b/>
          <w:color w:val="FF0000"/>
          <w:sz w:val="24"/>
          <w:szCs w:val="24"/>
        </w:rPr>
      </w:pPr>
    </w:p>
    <w:tbl>
      <w:tblPr>
        <w:tblW w:w="8536" w:type="dxa"/>
        <w:tblInd w:w="10" w:type="dxa"/>
        <w:tblCellMar>
          <w:left w:w="70" w:type="dxa"/>
          <w:right w:w="70" w:type="dxa"/>
        </w:tblCellMar>
        <w:tblLook w:val="04A0" w:firstRow="1" w:lastRow="0" w:firstColumn="1" w:lastColumn="0" w:noHBand="0" w:noVBand="1"/>
      </w:tblPr>
      <w:tblGrid>
        <w:gridCol w:w="2916"/>
        <w:gridCol w:w="1261"/>
        <w:gridCol w:w="1630"/>
        <w:gridCol w:w="1576"/>
        <w:gridCol w:w="1153"/>
      </w:tblGrid>
      <w:tr w:rsidR="00742457" w:rsidRPr="001B5179" w:rsidTr="00742457">
        <w:trPr>
          <w:trHeight w:val="258"/>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457" w:rsidRPr="001B5179" w:rsidRDefault="00742457" w:rsidP="00B36A21">
            <w:pPr>
              <w:jc w:val="center"/>
              <w:rPr>
                <w:rFonts w:ascii="Arial" w:hAnsi="Arial" w:cs="Arial"/>
                <w:b/>
                <w:bCs/>
                <w:color w:val="000000"/>
                <w:sz w:val="16"/>
                <w:szCs w:val="16"/>
              </w:rPr>
            </w:pPr>
            <w:r w:rsidRPr="001B5179">
              <w:rPr>
                <w:rFonts w:ascii="Arial" w:hAnsi="Arial" w:cs="Arial"/>
                <w:b/>
                <w:bCs/>
                <w:color w:val="000000"/>
                <w:sz w:val="16"/>
                <w:szCs w:val="16"/>
              </w:rPr>
              <w:t>Descrizione UA</w:t>
            </w:r>
          </w:p>
        </w:tc>
        <w:tc>
          <w:tcPr>
            <w:tcW w:w="1261" w:type="dxa"/>
            <w:tcBorders>
              <w:top w:val="single" w:sz="8" w:space="0" w:color="auto"/>
              <w:left w:val="nil"/>
              <w:bottom w:val="single" w:sz="8" w:space="0" w:color="auto"/>
              <w:right w:val="single" w:sz="4" w:space="0" w:color="auto"/>
            </w:tcBorders>
            <w:shd w:val="clear" w:color="auto" w:fill="auto"/>
            <w:vAlign w:val="center"/>
            <w:hideMark/>
          </w:tcPr>
          <w:p w:rsidR="00742457" w:rsidRPr="001B5179" w:rsidRDefault="00742457" w:rsidP="00B36A21">
            <w:pPr>
              <w:jc w:val="center"/>
              <w:rPr>
                <w:rFonts w:ascii="Arial" w:hAnsi="Arial" w:cs="Arial"/>
                <w:b/>
                <w:bCs/>
                <w:color w:val="000000"/>
                <w:sz w:val="16"/>
                <w:szCs w:val="16"/>
              </w:rPr>
            </w:pPr>
            <w:r w:rsidRPr="001B5179">
              <w:rPr>
                <w:rFonts w:ascii="Arial" w:hAnsi="Arial" w:cs="Arial"/>
                <w:b/>
                <w:bCs/>
                <w:color w:val="000000"/>
                <w:sz w:val="16"/>
                <w:szCs w:val="16"/>
              </w:rPr>
              <w:t>TIPO</w:t>
            </w:r>
          </w:p>
        </w:tc>
        <w:tc>
          <w:tcPr>
            <w:tcW w:w="1630" w:type="dxa"/>
            <w:tcBorders>
              <w:top w:val="single" w:sz="8" w:space="0" w:color="auto"/>
              <w:left w:val="nil"/>
              <w:bottom w:val="single" w:sz="8" w:space="0" w:color="auto"/>
              <w:right w:val="single" w:sz="4" w:space="0" w:color="auto"/>
            </w:tcBorders>
            <w:shd w:val="clear" w:color="auto" w:fill="auto"/>
            <w:vAlign w:val="center"/>
            <w:hideMark/>
          </w:tcPr>
          <w:p w:rsidR="00742457" w:rsidRPr="001B5179" w:rsidRDefault="00742457" w:rsidP="00B36A21">
            <w:pPr>
              <w:jc w:val="center"/>
              <w:rPr>
                <w:rFonts w:ascii="Arial" w:hAnsi="Arial" w:cs="Arial"/>
                <w:b/>
                <w:bCs/>
                <w:color w:val="000000"/>
                <w:sz w:val="16"/>
                <w:szCs w:val="16"/>
              </w:rPr>
            </w:pPr>
            <w:r w:rsidRPr="001B5179">
              <w:rPr>
                <w:rFonts w:ascii="Arial" w:hAnsi="Arial" w:cs="Arial"/>
                <w:b/>
                <w:bCs/>
                <w:color w:val="000000"/>
                <w:sz w:val="16"/>
                <w:szCs w:val="16"/>
              </w:rPr>
              <w:t>Budget 2017</w:t>
            </w:r>
          </w:p>
        </w:tc>
        <w:tc>
          <w:tcPr>
            <w:tcW w:w="1576" w:type="dxa"/>
            <w:tcBorders>
              <w:top w:val="single" w:sz="8" w:space="0" w:color="auto"/>
              <w:left w:val="nil"/>
              <w:bottom w:val="single" w:sz="8" w:space="0" w:color="auto"/>
              <w:right w:val="single" w:sz="4" w:space="0" w:color="auto"/>
            </w:tcBorders>
            <w:shd w:val="clear" w:color="auto" w:fill="auto"/>
            <w:vAlign w:val="center"/>
            <w:hideMark/>
          </w:tcPr>
          <w:p w:rsidR="00742457" w:rsidRPr="001B5179" w:rsidRDefault="00742457" w:rsidP="00B36A21">
            <w:pPr>
              <w:jc w:val="center"/>
              <w:rPr>
                <w:rFonts w:ascii="Arial" w:hAnsi="Arial" w:cs="Arial"/>
                <w:b/>
                <w:bCs/>
                <w:color w:val="000000"/>
                <w:sz w:val="16"/>
                <w:szCs w:val="16"/>
              </w:rPr>
            </w:pPr>
            <w:r w:rsidRPr="001B5179">
              <w:rPr>
                <w:rFonts w:ascii="Arial" w:hAnsi="Arial" w:cs="Arial"/>
                <w:b/>
                <w:bCs/>
                <w:color w:val="000000"/>
                <w:sz w:val="16"/>
                <w:szCs w:val="16"/>
              </w:rPr>
              <w:t>Budget 2018</w:t>
            </w:r>
          </w:p>
        </w:tc>
        <w:tc>
          <w:tcPr>
            <w:tcW w:w="1153" w:type="dxa"/>
            <w:tcBorders>
              <w:top w:val="single" w:sz="8" w:space="0" w:color="auto"/>
              <w:left w:val="nil"/>
              <w:bottom w:val="single" w:sz="8" w:space="0" w:color="auto"/>
              <w:right w:val="single" w:sz="8" w:space="0" w:color="auto"/>
            </w:tcBorders>
            <w:shd w:val="clear" w:color="auto" w:fill="auto"/>
            <w:vAlign w:val="center"/>
            <w:hideMark/>
          </w:tcPr>
          <w:p w:rsidR="00742457" w:rsidRPr="001B5179" w:rsidRDefault="00742457" w:rsidP="00B36A21">
            <w:pPr>
              <w:jc w:val="center"/>
              <w:rPr>
                <w:rFonts w:ascii="Arial" w:hAnsi="Arial" w:cs="Arial"/>
                <w:b/>
                <w:bCs/>
                <w:color w:val="000000"/>
                <w:sz w:val="16"/>
                <w:szCs w:val="16"/>
              </w:rPr>
            </w:pPr>
            <w:r w:rsidRPr="001B5179">
              <w:rPr>
                <w:rFonts w:ascii="Arial" w:hAnsi="Arial" w:cs="Arial"/>
                <w:b/>
                <w:bCs/>
                <w:color w:val="000000"/>
                <w:sz w:val="16"/>
                <w:szCs w:val="16"/>
              </w:rPr>
              <w:t>Budget 2019</w:t>
            </w:r>
          </w:p>
        </w:tc>
      </w:tr>
      <w:tr w:rsidR="00742457" w:rsidRPr="001B5179" w:rsidTr="00742457">
        <w:trPr>
          <w:trHeight w:val="243"/>
        </w:trPr>
        <w:tc>
          <w:tcPr>
            <w:tcW w:w="2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457" w:rsidRPr="001B5179" w:rsidRDefault="00742457" w:rsidP="00B36A21">
            <w:pPr>
              <w:rPr>
                <w:rFonts w:ascii="Arial" w:hAnsi="Arial" w:cs="Arial"/>
                <w:sz w:val="16"/>
                <w:szCs w:val="16"/>
              </w:rPr>
            </w:pPr>
            <w:r w:rsidRPr="001B5179">
              <w:rPr>
                <w:rFonts w:ascii="Arial" w:hAnsi="Arial" w:cs="Arial"/>
                <w:sz w:val="16"/>
                <w:szCs w:val="16"/>
              </w:rPr>
              <w:t>Centro Interdipartimentale "Magna Grecia"</w:t>
            </w:r>
          </w:p>
        </w:tc>
        <w:tc>
          <w:tcPr>
            <w:tcW w:w="1261"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center"/>
              <w:rPr>
                <w:rFonts w:ascii="Arial" w:hAnsi="Arial" w:cs="Arial"/>
                <w:sz w:val="16"/>
                <w:szCs w:val="16"/>
              </w:rPr>
            </w:pPr>
            <w:r w:rsidRPr="001B5179">
              <w:rPr>
                <w:rFonts w:ascii="Arial" w:hAnsi="Arial" w:cs="Arial"/>
                <w:sz w:val="16"/>
                <w:szCs w:val="16"/>
              </w:rPr>
              <w:t>COSTI</w:t>
            </w:r>
          </w:p>
        </w:tc>
        <w:tc>
          <w:tcPr>
            <w:tcW w:w="1630"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right"/>
              <w:rPr>
                <w:rFonts w:ascii="Arial" w:hAnsi="Arial" w:cs="Arial"/>
                <w:sz w:val="16"/>
                <w:szCs w:val="16"/>
              </w:rPr>
            </w:pPr>
            <w:r w:rsidRPr="001B5179">
              <w:rPr>
                <w:rFonts w:ascii="Arial" w:hAnsi="Arial" w:cs="Arial"/>
                <w:sz w:val="16"/>
                <w:szCs w:val="16"/>
              </w:rPr>
              <w:t>19.000,00</w:t>
            </w:r>
          </w:p>
        </w:tc>
        <w:tc>
          <w:tcPr>
            <w:tcW w:w="1576"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right"/>
              <w:rPr>
                <w:rFonts w:ascii="Arial" w:hAnsi="Arial" w:cs="Arial"/>
                <w:sz w:val="16"/>
                <w:szCs w:val="16"/>
              </w:rPr>
            </w:pPr>
            <w:r w:rsidRPr="001B5179">
              <w:rPr>
                <w:rFonts w:ascii="Arial" w:hAnsi="Arial" w:cs="Arial"/>
                <w:sz w:val="16"/>
                <w:szCs w:val="16"/>
              </w:rPr>
              <w:t>19.000,00</w:t>
            </w:r>
          </w:p>
        </w:tc>
        <w:tc>
          <w:tcPr>
            <w:tcW w:w="1153" w:type="dxa"/>
            <w:tcBorders>
              <w:top w:val="nil"/>
              <w:left w:val="nil"/>
              <w:bottom w:val="single" w:sz="4" w:space="0" w:color="auto"/>
              <w:right w:val="single" w:sz="8" w:space="0" w:color="auto"/>
            </w:tcBorders>
            <w:shd w:val="clear" w:color="auto" w:fill="auto"/>
            <w:noWrap/>
            <w:vAlign w:val="bottom"/>
            <w:hideMark/>
          </w:tcPr>
          <w:p w:rsidR="00742457" w:rsidRPr="001B5179" w:rsidRDefault="00742457" w:rsidP="00B36A21">
            <w:pPr>
              <w:jc w:val="right"/>
              <w:rPr>
                <w:rFonts w:ascii="Arial" w:hAnsi="Arial" w:cs="Arial"/>
                <w:sz w:val="16"/>
                <w:szCs w:val="16"/>
              </w:rPr>
            </w:pPr>
            <w:r w:rsidRPr="001B5179">
              <w:rPr>
                <w:rFonts w:ascii="Arial" w:hAnsi="Arial" w:cs="Arial"/>
                <w:sz w:val="16"/>
                <w:szCs w:val="16"/>
              </w:rPr>
              <w:t>19.000,00</w:t>
            </w:r>
          </w:p>
        </w:tc>
      </w:tr>
      <w:tr w:rsidR="00742457" w:rsidRPr="001B5179" w:rsidTr="00742457">
        <w:trPr>
          <w:trHeight w:val="243"/>
        </w:trPr>
        <w:tc>
          <w:tcPr>
            <w:tcW w:w="2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457" w:rsidRPr="001B5179" w:rsidRDefault="00742457" w:rsidP="00B36A21">
            <w:pPr>
              <w:rPr>
                <w:rFonts w:ascii="Arial" w:hAnsi="Arial" w:cs="Arial"/>
                <w:sz w:val="16"/>
                <w:szCs w:val="16"/>
              </w:rPr>
            </w:pPr>
            <w:r w:rsidRPr="001B5179">
              <w:rPr>
                <w:rFonts w:ascii="Arial" w:hAnsi="Arial" w:cs="Arial"/>
                <w:sz w:val="16"/>
                <w:szCs w:val="16"/>
              </w:rPr>
              <w:t>Centro Interdipartimentale "Magna Grecia"</w:t>
            </w:r>
          </w:p>
        </w:tc>
        <w:tc>
          <w:tcPr>
            <w:tcW w:w="1261"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center"/>
              <w:rPr>
                <w:rFonts w:ascii="Arial" w:hAnsi="Arial" w:cs="Arial"/>
                <w:sz w:val="16"/>
                <w:szCs w:val="16"/>
              </w:rPr>
            </w:pPr>
            <w:r w:rsidRPr="001B5179">
              <w:rPr>
                <w:rFonts w:ascii="Arial" w:hAnsi="Arial" w:cs="Arial"/>
                <w:sz w:val="16"/>
                <w:szCs w:val="16"/>
              </w:rPr>
              <w:t>INVESTIMENTI</w:t>
            </w:r>
          </w:p>
        </w:tc>
        <w:tc>
          <w:tcPr>
            <w:tcW w:w="1630"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right"/>
              <w:rPr>
                <w:rFonts w:ascii="Arial" w:hAnsi="Arial" w:cs="Arial"/>
                <w:sz w:val="16"/>
                <w:szCs w:val="16"/>
              </w:rPr>
            </w:pPr>
            <w:r w:rsidRPr="001B5179">
              <w:rPr>
                <w:rFonts w:ascii="Arial" w:hAnsi="Arial" w:cs="Arial"/>
                <w:sz w:val="16"/>
                <w:szCs w:val="16"/>
              </w:rPr>
              <w:t>21.000,00</w:t>
            </w:r>
          </w:p>
        </w:tc>
        <w:tc>
          <w:tcPr>
            <w:tcW w:w="1576"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right"/>
              <w:rPr>
                <w:rFonts w:ascii="Arial" w:hAnsi="Arial" w:cs="Arial"/>
                <w:sz w:val="16"/>
                <w:szCs w:val="16"/>
              </w:rPr>
            </w:pPr>
            <w:r w:rsidRPr="001B5179">
              <w:rPr>
                <w:rFonts w:ascii="Arial" w:hAnsi="Arial" w:cs="Arial"/>
                <w:sz w:val="16"/>
                <w:szCs w:val="16"/>
              </w:rPr>
              <w:t>21.000,00</w:t>
            </w:r>
          </w:p>
        </w:tc>
        <w:tc>
          <w:tcPr>
            <w:tcW w:w="1153" w:type="dxa"/>
            <w:tcBorders>
              <w:top w:val="nil"/>
              <w:left w:val="nil"/>
              <w:bottom w:val="single" w:sz="4" w:space="0" w:color="auto"/>
              <w:right w:val="single" w:sz="8" w:space="0" w:color="auto"/>
            </w:tcBorders>
            <w:shd w:val="clear" w:color="auto" w:fill="auto"/>
            <w:noWrap/>
            <w:vAlign w:val="bottom"/>
            <w:hideMark/>
          </w:tcPr>
          <w:p w:rsidR="00742457" w:rsidRPr="001B5179" w:rsidRDefault="00742457" w:rsidP="00B36A21">
            <w:pPr>
              <w:jc w:val="right"/>
              <w:rPr>
                <w:rFonts w:ascii="Arial" w:hAnsi="Arial" w:cs="Arial"/>
                <w:sz w:val="16"/>
                <w:szCs w:val="16"/>
              </w:rPr>
            </w:pPr>
            <w:r w:rsidRPr="001B5179">
              <w:rPr>
                <w:rFonts w:ascii="Arial" w:hAnsi="Arial" w:cs="Arial"/>
                <w:sz w:val="16"/>
                <w:szCs w:val="16"/>
              </w:rPr>
              <w:t>21.000,00</w:t>
            </w:r>
          </w:p>
        </w:tc>
      </w:tr>
      <w:tr w:rsidR="00742457" w:rsidRPr="001B5179" w:rsidTr="00742457">
        <w:trPr>
          <w:trHeight w:val="731"/>
        </w:trPr>
        <w:tc>
          <w:tcPr>
            <w:tcW w:w="29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2457" w:rsidRPr="001B5179" w:rsidRDefault="00742457" w:rsidP="00B36A21">
            <w:pPr>
              <w:rPr>
                <w:rFonts w:ascii="Arial" w:hAnsi="Arial" w:cs="Arial"/>
                <w:sz w:val="16"/>
                <w:szCs w:val="16"/>
              </w:rPr>
            </w:pPr>
            <w:r w:rsidRPr="001B5179">
              <w:rPr>
                <w:rFonts w:ascii="Arial" w:hAnsi="Arial" w:cs="Arial"/>
                <w:sz w:val="16"/>
                <w:szCs w:val="16"/>
              </w:rPr>
              <w:t>Dipartimento di Ingegneria Civile, Ambientale, del Territorio, Edile e di Chimica</w:t>
            </w:r>
          </w:p>
        </w:tc>
        <w:tc>
          <w:tcPr>
            <w:tcW w:w="1261"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center"/>
              <w:rPr>
                <w:rFonts w:ascii="Arial" w:hAnsi="Arial" w:cs="Arial"/>
                <w:sz w:val="16"/>
                <w:szCs w:val="16"/>
              </w:rPr>
            </w:pPr>
            <w:r w:rsidRPr="001B5179">
              <w:rPr>
                <w:rFonts w:ascii="Arial" w:hAnsi="Arial" w:cs="Arial"/>
                <w:sz w:val="16"/>
                <w:szCs w:val="16"/>
              </w:rPr>
              <w:t>COSTI</w:t>
            </w:r>
          </w:p>
        </w:tc>
        <w:tc>
          <w:tcPr>
            <w:tcW w:w="1630"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right"/>
              <w:rPr>
                <w:rFonts w:ascii="Arial" w:hAnsi="Arial" w:cs="Arial"/>
                <w:sz w:val="16"/>
                <w:szCs w:val="16"/>
              </w:rPr>
            </w:pPr>
            <w:r w:rsidRPr="001B5179">
              <w:rPr>
                <w:rFonts w:ascii="Arial" w:hAnsi="Arial" w:cs="Arial"/>
                <w:sz w:val="16"/>
                <w:szCs w:val="16"/>
              </w:rPr>
              <w:t>80.000,00</w:t>
            </w:r>
          </w:p>
        </w:tc>
        <w:tc>
          <w:tcPr>
            <w:tcW w:w="1576"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right"/>
              <w:rPr>
                <w:rFonts w:ascii="Arial" w:hAnsi="Arial" w:cs="Arial"/>
                <w:sz w:val="16"/>
                <w:szCs w:val="16"/>
              </w:rPr>
            </w:pPr>
            <w:r w:rsidRPr="001B5179">
              <w:rPr>
                <w:rFonts w:ascii="Arial" w:hAnsi="Arial" w:cs="Arial"/>
                <w:sz w:val="16"/>
                <w:szCs w:val="16"/>
              </w:rPr>
              <w:t>80.000,00</w:t>
            </w:r>
          </w:p>
        </w:tc>
        <w:tc>
          <w:tcPr>
            <w:tcW w:w="1153" w:type="dxa"/>
            <w:tcBorders>
              <w:top w:val="nil"/>
              <w:left w:val="nil"/>
              <w:bottom w:val="single" w:sz="4" w:space="0" w:color="auto"/>
              <w:right w:val="single" w:sz="8" w:space="0" w:color="auto"/>
            </w:tcBorders>
            <w:shd w:val="clear" w:color="auto" w:fill="auto"/>
            <w:noWrap/>
            <w:vAlign w:val="bottom"/>
            <w:hideMark/>
          </w:tcPr>
          <w:p w:rsidR="00742457" w:rsidRPr="001B5179" w:rsidRDefault="00742457" w:rsidP="00B36A21">
            <w:pPr>
              <w:jc w:val="right"/>
              <w:rPr>
                <w:rFonts w:ascii="Arial" w:hAnsi="Arial" w:cs="Arial"/>
                <w:sz w:val="16"/>
                <w:szCs w:val="16"/>
              </w:rPr>
            </w:pPr>
            <w:r w:rsidRPr="001B5179">
              <w:rPr>
                <w:rFonts w:ascii="Arial" w:hAnsi="Arial" w:cs="Arial"/>
                <w:sz w:val="16"/>
                <w:szCs w:val="16"/>
              </w:rPr>
              <w:t>80.000,00</w:t>
            </w:r>
          </w:p>
        </w:tc>
      </w:tr>
      <w:tr w:rsidR="00742457" w:rsidRPr="001B5179" w:rsidTr="00742457">
        <w:trPr>
          <w:trHeight w:val="487"/>
        </w:trPr>
        <w:tc>
          <w:tcPr>
            <w:tcW w:w="29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2457" w:rsidRPr="001B5179" w:rsidRDefault="00742457" w:rsidP="00B36A21">
            <w:pPr>
              <w:rPr>
                <w:rFonts w:ascii="Arial" w:hAnsi="Arial" w:cs="Arial"/>
                <w:sz w:val="16"/>
                <w:szCs w:val="16"/>
              </w:rPr>
            </w:pPr>
            <w:r w:rsidRPr="001B5179">
              <w:rPr>
                <w:rFonts w:ascii="Arial" w:hAnsi="Arial" w:cs="Arial"/>
                <w:sz w:val="16"/>
                <w:szCs w:val="16"/>
              </w:rPr>
              <w:t>Dipartimento di Ingegneria Elettrica e dell'Informazione</w:t>
            </w:r>
          </w:p>
        </w:tc>
        <w:tc>
          <w:tcPr>
            <w:tcW w:w="1261"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center"/>
              <w:rPr>
                <w:rFonts w:ascii="Arial" w:hAnsi="Arial" w:cs="Arial"/>
                <w:sz w:val="16"/>
                <w:szCs w:val="16"/>
              </w:rPr>
            </w:pPr>
            <w:r w:rsidRPr="001B5179">
              <w:rPr>
                <w:rFonts w:ascii="Arial" w:hAnsi="Arial" w:cs="Arial"/>
                <w:sz w:val="16"/>
                <w:szCs w:val="16"/>
              </w:rPr>
              <w:t>COSTI</w:t>
            </w:r>
          </w:p>
        </w:tc>
        <w:tc>
          <w:tcPr>
            <w:tcW w:w="1630"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right"/>
              <w:rPr>
                <w:rFonts w:ascii="Arial" w:hAnsi="Arial" w:cs="Arial"/>
                <w:sz w:val="16"/>
                <w:szCs w:val="16"/>
              </w:rPr>
            </w:pPr>
            <w:r w:rsidRPr="001B5179">
              <w:rPr>
                <w:rFonts w:ascii="Arial" w:hAnsi="Arial" w:cs="Arial"/>
                <w:sz w:val="16"/>
                <w:szCs w:val="16"/>
              </w:rPr>
              <w:t>50.000,00</w:t>
            </w:r>
          </w:p>
        </w:tc>
        <w:tc>
          <w:tcPr>
            <w:tcW w:w="1576"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right"/>
              <w:rPr>
                <w:rFonts w:ascii="Arial" w:hAnsi="Arial" w:cs="Arial"/>
                <w:sz w:val="16"/>
                <w:szCs w:val="16"/>
              </w:rPr>
            </w:pPr>
            <w:r w:rsidRPr="001B5179">
              <w:rPr>
                <w:rFonts w:ascii="Arial" w:hAnsi="Arial" w:cs="Arial"/>
                <w:sz w:val="16"/>
                <w:szCs w:val="16"/>
              </w:rPr>
              <w:t>50.000,00</w:t>
            </w:r>
          </w:p>
        </w:tc>
        <w:tc>
          <w:tcPr>
            <w:tcW w:w="1153" w:type="dxa"/>
            <w:tcBorders>
              <w:top w:val="nil"/>
              <w:left w:val="nil"/>
              <w:bottom w:val="single" w:sz="4" w:space="0" w:color="auto"/>
              <w:right w:val="single" w:sz="8" w:space="0" w:color="auto"/>
            </w:tcBorders>
            <w:shd w:val="clear" w:color="auto" w:fill="auto"/>
            <w:noWrap/>
            <w:vAlign w:val="bottom"/>
            <w:hideMark/>
          </w:tcPr>
          <w:p w:rsidR="00742457" w:rsidRPr="001B5179" w:rsidRDefault="00742457" w:rsidP="00B36A21">
            <w:pPr>
              <w:jc w:val="right"/>
              <w:rPr>
                <w:rFonts w:ascii="Arial" w:hAnsi="Arial" w:cs="Arial"/>
                <w:sz w:val="16"/>
                <w:szCs w:val="16"/>
              </w:rPr>
            </w:pPr>
            <w:r w:rsidRPr="001B5179">
              <w:rPr>
                <w:rFonts w:ascii="Arial" w:hAnsi="Arial" w:cs="Arial"/>
                <w:sz w:val="16"/>
                <w:szCs w:val="16"/>
              </w:rPr>
              <w:t>50.000,00</w:t>
            </w:r>
          </w:p>
        </w:tc>
      </w:tr>
      <w:tr w:rsidR="00742457" w:rsidRPr="001B5179" w:rsidTr="00742457">
        <w:trPr>
          <w:trHeight w:val="487"/>
        </w:trPr>
        <w:tc>
          <w:tcPr>
            <w:tcW w:w="29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2457" w:rsidRPr="001B5179" w:rsidRDefault="00742457" w:rsidP="00B36A21">
            <w:pPr>
              <w:rPr>
                <w:rFonts w:ascii="Arial" w:hAnsi="Arial" w:cs="Arial"/>
                <w:sz w:val="16"/>
                <w:szCs w:val="16"/>
              </w:rPr>
            </w:pPr>
            <w:r w:rsidRPr="001B5179">
              <w:rPr>
                <w:rFonts w:ascii="Arial" w:hAnsi="Arial" w:cs="Arial"/>
                <w:sz w:val="16"/>
                <w:szCs w:val="16"/>
              </w:rPr>
              <w:t>Dipartimento di Ingegneria Elettrica e dell'Informazione</w:t>
            </w:r>
          </w:p>
        </w:tc>
        <w:tc>
          <w:tcPr>
            <w:tcW w:w="1261"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center"/>
              <w:rPr>
                <w:rFonts w:ascii="Arial" w:hAnsi="Arial" w:cs="Arial"/>
                <w:sz w:val="16"/>
                <w:szCs w:val="16"/>
              </w:rPr>
            </w:pPr>
            <w:r w:rsidRPr="001B5179">
              <w:rPr>
                <w:rFonts w:ascii="Arial" w:hAnsi="Arial" w:cs="Arial"/>
                <w:sz w:val="16"/>
                <w:szCs w:val="16"/>
              </w:rPr>
              <w:t>INVESTIMENTI</w:t>
            </w:r>
          </w:p>
        </w:tc>
        <w:tc>
          <w:tcPr>
            <w:tcW w:w="1630"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right"/>
              <w:rPr>
                <w:rFonts w:ascii="Arial" w:hAnsi="Arial" w:cs="Arial"/>
                <w:sz w:val="16"/>
                <w:szCs w:val="16"/>
              </w:rPr>
            </w:pPr>
            <w:r w:rsidRPr="001B5179">
              <w:rPr>
                <w:rFonts w:ascii="Arial" w:hAnsi="Arial" w:cs="Arial"/>
                <w:sz w:val="16"/>
                <w:szCs w:val="16"/>
              </w:rPr>
              <w:t>30.000,00</w:t>
            </w:r>
          </w:p>
        </w:tc>
        <w:tc>
          <w:tcPr>
            <w:tcW w:w="1576"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right"/>
              <w:rPr>
                <w:rFonts w:ascii="Arial" w:hAnsi="Arial" w:cs="Arial"/>
                <w:sz w:val="16"/>
                <w:szCs w:val="16"/>
              </w:rPr>
            </w:pPr>
            <w:r w:rsidRPr="001B5179">
              <w:rPr>
                <w:rFonts w:ascii="Arial" w:hAnsi="Arial" w:cs="Arial"/>
                <w:sz w:val="16"/>
                <w:szCs w:val="16"/>
              </w:rPr>
              <w:t>30.000,00</w:t>
            </w:r>
          </w:p>
        </w:tc>
        <w:tc>
          <w:tcPr>
            <w:tcW w:w="1153" w:type="dxa"/>
            <w:tcBorders>
              <w:top w:val="nil"/>
              <w:left w:val="nil"/>
              <w:bottom w:val="single" w:sz="4" w:space="0" w:color="auto"/>
              <w:right w:val="single" w:sz="8" w:space="0" w:color="auto"/>
            </w:tcBorders>
            <w:shd w:val="clear" w:color="auto" w:fill="auto"/>
            <w:noWrap/>
            <w:vAlign w:val="bottom"/>
            <w:hideMark/>
          </w:tcPr>
          <w:p w:rsidR="00742457" w:rsidRPr="001B5179" w:rsidRDefault="00742457" w:rsidP="00B36A21">
            <w:pPr>
              <w:jc w:val="right"/>
              <w:rPr>
                <w:rFonts w:ascii="Arial" w:hAnsi="Arial" w:cs="Arial"/>
                <w:sz w:val="16"/>
                <w:szCs w:val="16"/>
              </w:rPr>
            </w:pPr>
            <w:r w:rsidRPr="001B5179">
              <w:rPr>
                <w:rFonts w:ascii="Arial" w:hAnsi="Arial" w:cs="Arial"/>
                <w:sz w:val="16"/>
                <w:szCs w:val="16"/>
              </w:rPr>
              <w:t>30.000,00</w:t>
            </w:r>
          </w:p>
        </w:tc>
      </w:tr>
      <w:tr w:rsidR="00742457" w:rsidRPr="001B5179" w:rsidTr="00742457">
        <w:trPr>
          <w:trHeight w:val="487"/>
        </w:trPr>
        <w:tc>
          <w:tcPr>
            <w:tcW w:w="29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2457" w:rsidRPr="001B5179" w:rsidRDefault="00742457" w:rsidP="00B36A21">
            <w:pPr>
              <w:rPr>
                <w:rFonts w:ascii="Arial" w:hAnsi="Arial" w:cs="Arial"/>
                <w:sz w:val="16"/>
                <w:szCs w:val="16"/>
              </w:rPr>
            </w:pPr>
            <w:r w:rsidRPr="001B5179">
              <w:rPr>
                <w:rFonts w:ascii="Arial" w:hAnsi="Arial" w:cs="Arial"/>
                <w:sz w:val="16"/>
                <w:szCs w:val="16"/>
              </w:rPr>
              <w:t>Dipartimento di Meccanica, Matematica e Management</w:t>
            </w:r>
          </w:p>
        </w:tc>
        <w:tc>
          <w:tcPr>
            <w:tcW w:w="1261"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center"/>
              <w:rPr>
                <w:rFonts w:ascii="Arial" w:hAnsi="Arial" w:cs="Arial"/>
                <w:sz w:val="16"/>
                <w:szCs w:val="16"/>
              </w:rPr>
            </w:pPr>
            <w:r w:rsidRPr="001B5179">
              <w:rPr>
                <w:rFonts w:ascii="Arial" w:hAnsi="Arial" w:cs="Arial"/>
                <w:sz w:val="16"/>
                <w:szCs w:val="16"/>
              </w:rPr>
              <w:t>COSTI</w:t>
            </w:r>
          </w:p>
        </w:tc>
        <w:tc>
          <w:tcPr>
            <w:tcW w:w="1630"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right"/>
              <w:rPr>
                <w:rFonts w:ascii="Arial" w:hAnsi="Arial" w:cs="Arial"/>
                <w:sz w:val="16"/>
                <w:szCs w:val="16"/>
              </w:rPr>
            </w:pPr>
            <w:r w:rsidRPr="001B5179">
              <w:rPr>
                <w:rFonts w:ascii="Arial" w:hAnsi="Arial" w:cs="Arial"/>
                <w:sz w:val="16"/>
                <w:szCs w:val="16"/>
              </w:rPr>
              <w:t>54.900,00</w:t>
            </w:r>
          </w:p>
        </w:tc>
        <w:tc>
          <w:tcPr>
            <w:tcW w:w="1576"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right"/>
              <w:rPr>
                <w:rFonts w:ascii="Arial" w:hAnsi="Arial" w:cs="Arial"/>
                <w:sz w:val="16"/>
                <w:szCs w:val="16"/>
              </w:rPr>
            </w:pPr>
            <w:r w:rsidRPr="001B5179">
              <w:rPr>
                <w:rFonts w:ascii="Arial" w:hAnsi="Arial" w:cs="Arial"/>
                <w:sz w:val="16"/>
                <w:szCs w:val="16"/>
              </w:rPr>
              <w:t>54.900,00</w:t>
            </w:r>
          </w:p>
        </w:tc>
        <w:tc>
          <w:tcPr>
            <w:tcW w:w="1153" w:type="dxa"/>
            <w:tcBorders>
              <w:top w:val="nil"/>
              <w:left w:val="nil"/>
              <w:bottom w:val="single" w:sz="4" w:space="0" w:color="auto"/>
              <w:right w:val="single" w:sz="8" w:space="0" w:color="auto"/>
            </w:tcBorders>
            <w:shd w:val="clear" w:color="auto" w:fill="auto"/>
            <w:noWrap/>
            <w:vAlign w:val="bottom"/>
            <w:hideMark/>
          </w:tcPr>
          <w:p w:rsidR="00742457" w:rsidRPr="001B5179" w:rsidRDefault="00742457" w:rsidP="00B36A21">
            <w:pPr>
              <w:jc w:val="right"/>
              <w:rPr>
                <w:rFonts w:ascii="Arial" w:hAnsi="Arial" w:cs="Arial"/>
                <w:sz w:val="16"/>
                <w:szCs w:val="16"/>
              </w:rPr>
            </w:pPr>
            <w:r w:rsidRPr="001B5179">
              <w:rPr>
                <w:rFonts w:ascii="Arial" w:hAnsi="Arial" w:cs="Arial"/>
                <w:sz w:val="16"/>
                <w:szCs w:val="16"/>
              </w:rPr>
              <w:t>54.900,00</w:t>
            </w:r>
          </w:p>
        </w:tc>
      </w:tr>
      <w:tr w:rsidR="00742457" w:rsidRPr="001B5179" w:rsidTr="00742457">
        <w:trPr>
          <w:trHeight w:val="487"/>
        </w:trPr>
        <w:tc>
          <w:tcPr>
            <w:tcW w:w="29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2457" w:rsidRPr="001B5179" w:rsidRDefault="00742457" w:rsidP="00B36A21">
            <w:pPr>
              <w:rPr>
                <w:rFonts w:ascii="Arial" w:hAnsi="Arial" w:cs="Arial"/>
                <w:sz w:val="16"/>
                <w:szCs w:val="16"/>
              </w:rPr>
            </w:pPr>
            <w:r w:rsidRPr="001B5179">
              <w:rPr>
                <w:rFonts w:ascii="Arial" w:hAnsi="Arial" w:cs="Arial"/>
                <w:sz w:val="16"/>
                <w:szCs w:val="16"/>
              </w:rPr>
              <w:t>Dipartimento di Meccanica, Matematica e Management</w:t>
            </w:r>
          </w:p>
        </w:tc>
        <w:tc>
          <w:tcPr>
            <w:tcW w:w="1261"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center"/>
              <w:rPr>
                <w:rFonts w:ascii="Arial" w:hAnsi="Arial" w:cs="Arial"/>
                <w:sz w:val="16"/>
                <w:szCs w:val="16"/>
              </w:rPr>
            </w:pPr>
            <w:r w:rsidRPr="001B5179">
              <w:rPr>
                <w:rFonts w:ascii="Arial" w:hAnsi="Arial" w:cs="Arial"/>
                <w:sz w:val="16"/>
                <w:szCs w:val="16"/>
              </w:rPr>
              <w:t>INVESTIMENTI</w:t>
            </w:r>
          </w:p>
        </w:tc>
        <w:tc>
          <w:tcPr>
            <w:tcW w:w="1630"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right"/>
              <w:rPr>
                <w:rFonts w:ascii="Arial" w:hAnsi="Arial" w:cs="Arial"/>
                <w:sz w:val="16"/>
                <w:szCs w:val="16"/>
              </w:rPr>
            </w:pPr>
            <w:r w:rsidRPr="001B5179">
              <w:rPr>
                <w:rFonts w:ascii="Arial" w:hAnsi="Arial" w:cs="Arial"/>
                <w:sz w:val="16"/>
                <w:szCs w:val="16"/>
              </w:rPr>
              <w:t>25.100,00</w:t>
            </w:r>
          </w:p>
        </w:tc>
        <w:tc>
          <w:tcPr>
            <w:tcW w:w="1576"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right"/>
              <w:rPr>
                <w:rFonts w:ascii="Arial" w:hAnsi="Arial" w:cs="Arial"/>
                <w:sz w:val="16"/>
                <w:szCs w:val="16"/>
              </w:rPr>
            </w:pPr>
            <w:r w:rsidRPr="001B5179">
              <w:rPr>
                <w:rFonts w:ascii="Arial" w:hAnsi="Arial" w:cs="Arial"/>
                <w:sz w:val="16"/>
                <w:szCs w:val="16"/>
              </w:rPr>
              <w:t>25.100,00</w:t>
            </w:r>
          </w:p>
        </w:tc>
        <w:tc>
          <w:tcPr>
            <w:tcW w:w="1153" w:type="dxa"/>
            <w:tcBorders>
              <w:top w:val="nil"/>
              <w:left w:val="nil"/>
              <w:bottom w:val="single" w:sz="4" w:space="0" w:color="auto"/>
              <w:right w:val="single" w:sz="8" w:space="0" w:color="auto"/>
            </w:tcBorders>
            <w:shd w:val="clear" w:color="auto" w:fill="auto"/>
            <w:noWrap/>
            <w:vAlign w:val="bottom"/>
            <w:hideMark/>
          </w:tcPr>
          <w:p w:rsidR="00742457" w:rsidRPr="001B5179" w:rsidRDefault="00742457" w:rsidP="00B36A21">
            <w:pPr>
              <w:jc w:val="right"/>
              <w:rPr>
                <w:rFonts w:ascii="Arial" w:hAnsi="Arial" w:cs="Arial"/>
                <w:sz w:val="16"/>
                <w:szCs w:val="16"/>
              </w:rPr>
            </w:pPr>
            <w:r w:rsidRPr="001B5179">
              <w:rPr>
                <w:rFonts w:ascii="Arial" w:hAnsi="Arial" w:cs="Arial"/>
                <w:sz w:val="16"/>
                <w:szCs w:val="16"/>
              </w:rPr>
              <w:t>25.100,00</w:t>
            </w:r>
          </w:p>
        </w:tc>
      </w:tr>
      <w:tr w:rsidR="00742457" w:rsidRPr="001B5179" w:rsidTr="00742457">
        <w:trPr>
          <w:trHeight w:val="487"/>
        </w:trPr>
        <w:tc>
          <w:tcPr>
            <w:tcW w:w="29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2457" w:rsidRPr="001B5179" w:rsidRDefault="00742457" w:rsidP="00B36A21">
            <w:pPr>
              <w:rPr>
                <w:rFonts w:ascii="Arial" w:hAnsi="Arial" w:cs="Arial"/>
                <w:sz w:val="16"/>
                <w:szCs w:val="16"/>
              </w:rPr>
            </w:pPr>
            <w:r w:rsidRPr="001B5179">
              <w:rPr>
                <w:rFonts w:ascii="Arial" w:hAnsi="Arial" w:cs="Arial"/>
                <w:sz w:val="16"/>
                <w:szCs w:val="16"/>
              </w:rPr>
              <w:t>Dipartimento di Scienze dell'Ingegneria Civile e dell'Architettura</w:t>
            </w:r>
          </w:p>
        </w:tc>
        <w:tc>
          <w:tcPr>
            <w:tcW w:w="1261"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center"/>
              <w:rPr>
                <w:rFonts w:ascii="Arial" w:hAnsi="Arial" w:cs="Arial"/>
                <w:sz w:val="16"/>
                <w:szCs w:val="16"/>
              </w:rPr>
            </w:pPr>
            <w:r w:rsidRPr="001B5179">
              <w:rPr>
                <w:rFonts w:ascii="Arial" w:hAnsi="Arial" w:cs="Arial"/>
                <w:sz w:val="16"/>
                <w:szCs w:val="16"/>
              </w:rPr>
              <w:t>COSTI</w:t>
            </w:r>
          </w:p>
        </w:tc>
        <w:tc>
          <w:tcPr>
            <w:tcW w:w="1630"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right"/>
              <w:rPr>
                <w:rFonts w:ascii="Arial" w:hAnsi="Arial" w:cs="Arial"/>
                <w:sz w:val="16"/>
                <w:szCs w:val="16"/>
              </w:rPr>
            </w:pPr>
            <w:r w:rsidRPr="001B5179">
              <w:rPr>
                <w:rFonts w:ascii="Arial" w:hAnsi="Arial" w:cs="Arial"/>
                <w:sz w:val="16"/>
                <w:szCs w:val="16"/>
              </w:rPr>
              <w:t>40.500,00</w:t>
            </w:r>
          </w:p>
        </w:tc>
        <w:tc>
          <w:tcPr>
            <w:tcW w:w="1576"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right"/>
              <w:rPr>
                <w:rFonts w:ascii="Arial" w:hAnsi="Arial" w:cs="Arial"/>
                <w:sz w:val="16"/>
                <w:szCs w:val="16"/>
              </w:rPr>
            </w:pPr>
            <w:r w:rsidRPr="001B5179">
              <w:rPr>
                <w:rFonts w:ascii="Arial" w:hAnsi="Arial" w:cs="Arial"/>
                <w:sz w:val="16"/>
                <w:szCs w:val="16"/>
              </w:rPr>
              <w:t>40.500,00</w:t>
            </w:r>
          </w:p>
        </w:tc>
        <w:tc>
          <w:tcPr>
            <w:tcW w:w="1153" w:type="dxa"/>
            <w:tcBorders>
              <w:top w:val="nil"/>
              <w:left w:val="nil"/>
              <w:bottom w:val="single" w:sz="4" w:space="0" w:color="auto"/>
              <w:right w:val="single" w:sz="8" w:space="0" w:color="auto"/>
            </w:tcBorders>
            <w:shd w:val="clear" w:color="auto" w:fill="auto"/>
            <w:noWrap/>
            <w:vAlign w:val="bottom"/>
            <w:hideMark/>
          </w:tcPr>
          <w:p w:rsidR="00742457" w:rsidRPr="001B5179" w:rsidRDefault="00742457" w:rsidP="00B36A21">
            <w:pPr>
              <w:jc w:val="right"/>
              <w:rPr>
                <w:rFonts w:ascii="Arial" w:hAnsi="Arial" w:cs="Arial"/>
                <w:sz w:val="16"/>
                <w:szCs w:val="16"/>
              </w:rPr>
            </w:pPr>
            <w:r w:rsidRPr="001B5179">
              <w:rPr>
                <w:rFonts w:ascii="Arial" w:hAnsi="Arial" w:cs="Arial"/>
                <w:sz w:val="16"/>
                <w:szCs w:val="16"/>
              </w:rPr>
              <w:t>40.500,00</w:t>
            </w:r>
          </w:p>
        </w:tc>
      </w:tr>
      <w:tr w:rsidR="00742457" w:rsidRPr="001B5179" w:rsidTr="00742457">
        <w:trPr>
          <w:trHeight w:val="487"/>
        </w:trPr>
        <w:tc>
          <w:tcPr>
            <w:tcW w:w="29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2457" w:rsidRPr="001B5179" w:rsidRDefault="00742457" w:rsidP="00B36A21">
            <w:pPr>
              <w:rPr>
                <w:rFonts w:ascii="Arial" w:hAnsi="Arial" w:cs="Arial"/>
                <w:sz w:val="16"/>
                <w:szCs w:val="16"/>
              </w:rPr>
            </w:pPr>
            <w:r w:rsidRPr="001B5179">
              <w:rPr>
                <w:rFonts w:ascii="Arial" w:hAnsi="Arial" w:cs="Arial"/>
                <w:sz w:val="16"/>
                <w:szCs w:val="16"/>
              </w:rPr>
              <w:t>Dipartimento di Scienze dell'Ingegneria Civile e dell'Architettura</w:t>
            </w:r>
          </w:p>
        </w:tc>
        <w:tc>
          <w:tcPr>
            <w:tcW w:w="1261"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center"/>
              <w:rPr>
                <w:rFonts w:ascii="Arial" w:hAnsi="Arial" w:cs="Arial"/>
                <w:sz w:val="16"/>
                <w:szCs w:val="16"/>
              </w:rPr>
            </w:pPr>
            <w:r w:rsidRPr="001B5179">
              <w:rPr>
                <w:rFonts w:ascii="Arial" w:hAnsi="Arial" w:cs="Arial"/>
                <w:sz w:val="16"/>
                <w:szCs w:val="16"/>
              </w:rPr>
              <w:t>INVESTIMENTI</w:t>
            </w:r>
          </w:p>
        </w:tc>
        <w:tc>
          <w:tcPr>
            <w:tcW w:w="1630"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right"/>
              <w:rPr>
                <w:rFonts w:ascii="Arial" w:hAnsi="Arial" w:cs="Arial"/>
                <w:sz w:val="16"/>
                <w:szCs w:val="16"/>
              </w:rPr>
            </w:pPr>
            <w:r w:rsidRPr="001B5179">
              <w:rPr>
                <w:rFonts w:ascii="Arial" w:hAnsi="Arial" w:cs="Arial"/>
                <w:sz w:val="16"/>
                <w:szCs w:val="16"/>
              </w:rPr>
              <w:t>39.500,00</w:t>
            </w:r>
          </w:p>
        </w:tc>
        <w:tc>
          <w:tcPr>
            <w:tcW w:w="1576"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right"/>
              <w:rPr>
                <w:rFonts w:ascii="Arial" w:hAnsi="Arial" w:cs="Arial"/>
                <w:sz w:val="16"/>
                <w:szCs w:val="16"/>
              </w:rPr>
            </w:pPr>
            <w:r w:rsidRPr="001B5179">
              <w:rPr>
                <w:rFonts w:ascii="Arial" w:hAnsi="Arial" w:cs="Arial"/>
                <w:sz w:val="16"/>
                <w:szCs w:val="16"/>
              </w:rPr>
              <w:t>39.500,00</w:t>
            </w:r>
          </w:p>
        </w:tc>
        <w:tc>
          <w:tcPr>
            <w:tcW w:w="1153" w:type="dxa"/>
            <w:tcBorders>
              <w:top w:val="nil"/>
              <w:left w:val="nil"/>
              <w:bottom w:val="single" w:sz="4" w:space="0" w:color="auto"/>
              <w:right w:val="single" w:sz="8" w:space="0" w:color="auto"/>
            </w:tcBorders>
            <w:shd w:val="clear" w:color="auto" w:fill="auto"/>
            <w:noWrap/>
            <w:vAlign w:val="bottom"/>
            <w:hideMark/>
          </w:tcPr>
          <w:p w:rsidR="00742457" w:rsidRPr="001B5179" w:rsidRDefault="00742457" w:rsidP="00B36A21">
            <w:pPr>
              <w:jc w:val="right"/>
              <w:rPr>
                <w:rFonts w:ascii="Arial" w:hAnsi="Arial" w:cs="Arial"/>
                <w:sz w:val="16"/>
                <w:szCs w:val="16"/>
              </w:rPr>
            </w:pPr>
            <w:r w:rsidRPr="001B5179">
              <w:rPr>
                <w:rFonts w:ascii="Arial" w:hAnsi="Arial" w:cs="Arial"/>
                <w:sz w:val="16"/>
                <w:szCs w:val="16"/>
              </w:rPr>
              <w:t>39.500,00</w:t>
            </w:r>
          </w:p>
        </w:tc>
      </w:tr>
      <w:tr w:rsidR="00742457" w:rsidRPr="001B5179" w:rsidTr="00742457">
        <w:trPr>
          <w:trHeight w:val="243"/>
        </w:trPr>
        <w:tc>
          <w:tcPr>
            <w:tcW w:w="29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2457" w:rsidRPr="001B5179" w:rsidRDefault="00742457" w:rsidP="00B36A21">
            <w:pPr>
              <w:rPr>
                <w:rFonts w:ascii="Arial" w:hAnsi="Arial" w:cs="Arial"/>
                <w:sz w:val="16"/>
                <w:szCs w:val="16"/>
              </w:rPr>
            </w:pPr>
            <w:r w:rsidRPr="001B5179">
              <w:rPr>
                <w:rFonts w:ascii="Arial" w:hAnsi="Arial" w:cs="Arial"/>
                <w:sz w:val="16"/>
                <w:szCs w:val="16"/>
              </w:rPr>
              <w:t> </w:t>
            </w:r>
          </w:p>
        </w:tc>
        <w:tc>
          <w:tcPr>
            <w:tcW w:w="1261"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center"/>
              <w:rPr>
                <w:rFonts w:ascii="Arial" w:hAnsi="Arial" w:cs="Arial"/>
                <w:sz w:val="16"/>
                <w:szCs w:val="16"/>
              </w:rPr>
            </w:pPr>
            <w:r w:rsidRPr="001B5179">
              <w:rPr>
                <w:rFonts w:ascii="Arial" w:hAnsi="Arial" w:cs="Arial"/>
                <w:sz w:val="16"/>
                <w:szCs w:val="16"/>
              </w:rPr>
              <w:t> </w:t>
            </w:r>
          </w:p>
        </w:tc>
        <w:tc>
          <w:tcPr>
            <w:tcW w:w="1630"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rPr>
                <w:rFonts w:ascii="Arial" w:hAnsi="Arial" w:cs="Arial"/>
                <w:sz w:val="16"/>
                <w:szCs w:val="16"/>
              </w:rPr>
            </w:pPr>
            <w:r w:rsidRPr="001B5179">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rPr>
                <w:rFonts w:ascii="Arial" w:hAnsi="Arial" w:cs="Arial"/>
                <w:sz w:val="16"/>
                <w:szCs w:val="16"/>
              </w:rPr>
            </w:pPr>
            <w:r w:rsidRPr="001B5179">
              <w:rPr>
                <w:rFonts w:ascii="Arial" w:hAnsi="Arial" w:cs="Arial"/>
                <w:sz w:val="16"/>
                <w:szCs w:val="16"/>
              </w:rPr>
              <w:t> </w:t>
            </w:r>
          </w:p>
        </w:tc>
        <w:tc>
          <w:tcPr>
            <w:tcW w:w="1153" w:type="dxa"/>
            <w:tcBorders>
              <w:top w:val="nil"/>
              <w:left w:val="nil"/>
              <w:bottom w:val="single" w:sz="4" w:space="0" w:color="auto"/>
              <w:right w:val="single" w:sz="8" w:space="0" w:color="auto"/>
            </w:tcBorders>
            <w:shd w:val="clear" w:color="auto" w:fill="auto"/>
            <w:noWrap/>
            <w:vAlign w:val="bottom"/>
            <w:hideMark/>
          </w:tcPr>
          <w:p w:rsidR="00742457" w:rsidRPr="001B5179" w:rsidRDefault="00742457" w:rsidP="00B36A21">
            <w:pPr>
              <w:rPr>
                <w:rFonts w:ascii="Arial" w:hAnsi="Arial" w:cs="Arial"/>
                <w:sz w:val="16"/>
                <w:szCs w:val="16"/>
              </w:rPr>
            </w:pPr>
            <w:r w:rsidRPr="001B5179">
              <w:rPr>
                <w:rFonts w:ascii="Arial" w:hAnsi="Arial" w:cs="Arial"/>
                <w:sz w:val="16"/>
                <w:szCs w:val="16"/>
              </w:rPr>
              <w:t> </w:t>
            </w:r>
          </w:p>
        </w:tc>
      </w:tr>
      <w:tr w:rsidR="00742457" w:rsidRPr="001B5179" w:rsidTr="00742457">
        <w:trPr>
          <w:trHeight w:val="243"/>
        </w:trPr>
        <w:tc>
          <w:tcPr>
            <w:tcW w:w="29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2457" w:rsidRPr="001B5179" w:rsidRDefault="00742457" w:rsidP="00B36A21">
            <w:pPr>
              <w:jc w:val="center"/>
              <w:rPr>
                <w:rFonts w:ascii="Arial" w:hAnsi="Arial" w:cs="Arial"/>
                <w:b/>
                <w:bCs/>
                <w:sz w:val="16"/>
                <w:szCs w:val="16"/>
              </w:rPr>
            </w:pPr>
            <w:r w:rsidRPr="001B5179">
              <w:rPr>
                <w:rFonts w:ascii="Arial" w:hAnsi="Arial" w:cs="Arial"/>
                <w:b/>
                <w:bCs/>
                <w:sz w:val="16"/>
                <w:szCs w:val="16"/>
              </w:rPr>
              <w:t>TOTALE DOTAZIONE</w:t>
            </w:r>
          </w:p>
        </w:tc>
        <w:tc>
          <w:tcPr>
            <w:tcW w:w="1261"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center"/>
              <w:rPr>
                <w:rFonts w:ascii="Arial" w:hAnsi="Arial" w:cs="Arial"/>
                <w:b/>
                <w:bCs/>
                <w:sz w:val="16"/>
                <w:szCs w:val="16"/>
              </w:rPr>
            </w:pPr>
            <w:r w:rsidRPr="001B5179">
              <w:rPr>
                <w:rFonts w:ascii="Arial" w:hAnsi="Arial" w:cs="Arial"/>
                <w:b/>
                <w:bCs/>
                <w:sz w:val="16"/>
                <w:szCs w:val="16"/>
              </w:rPr>
              <w:t>COSTI</w:t>
            </w:r>
          </w:p>
        </w:tc>
        <w:tc>
          <w:tcPr>
            <w:tcW w:w="1630"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right"/>
              <w:rPr>
                <w:rFonts w:ascii="Arial" w:hAnsi="Arial" w:cs="Arial"/>
                <w:b/>
                <w:bCs/>
                <w:sz w:val="16"/>
                <w:szCs w:val="16"/>
              </w:rPr>
            </w:pPr>
            <w:r w:rsidRPr="001B5179">
              <w:rPr>
                <w:rFonts w:ascii="Arial" w:hAnsi="Arial" w:cs="Arial"/>
                <w:b/>
                <w:bCs/>
                <w:sz w:val="16"/>
                <w:szCs w:val="16"/>
              </w:rPr>
              <w:t>244.400,00</w:t>
            </w:r>
          </w:p>
        </w:tc>
        <w:tc>
          <w:tcPr>
            <w:tcW w:w="1576"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right"/>
              <w:rPr>
                <w:rFonts w:ascii="Arial" w:hAnsi="Arial" w:cs="Arial"/>
                <w:b/>
                <w:bCs/>
                <w:sz w:val="16"/>
                <w:szCs w:val="16"/>
              </w:rPr>
            </w:pPr>
            <w:r w:rsidRPr="001B5179">
              <w:rPr>
                <w:rFonts w:ascii="Arial" w:hAnsi="Arial" w:cs="Arial"/>
                <w:b/>
                <w:bCs/>
                <w:sz w:val="16"/>
                <w:szCs w:val="16"/>
              </w:rPr>
              <w:t>244.400,00</w:t>
            </w:r>
          </w:p>
        </w:tc>
        <w:tc>
          <w:tcPr>
            <w:tcW w:w="1153" w:type="dxa"/>
            <w:tcBorders>
              <w:top w:val="nil"/>
              <w:left w:val="nil"/>
              <w:bottom w:val="single" w:sz="4" w:space="0" w:color="auto"/>
              <w:right w:val="single" w:sz="8" w:space="0" w:color="auto"/>
            </w:tcBorders>
            <w:shd w:val="clear" w:color="auto" w:fill="auto"/>
            <w:noWrap/>
            <w:vAlign w:val="bottom"/>
            <w:hideMark/>
          </w:tcPr>
          <w:p w:rsidR="00742457" w:rsidRPr="001B5179" w:rsidRDefault="00742457" w:rsidP="00B36A21">
            <w:pPr>
              <w:jc w:val="right"/>
              <w:rPr>
                <w:rFonts w:ascii="Arial" w:hAnsi="Arial" w:cs="Arial"/>
                <w:b/>
                <w:bCs/>
                <w:sz w:val="16"/>
                <w:szCs w:val="16"/>
              </w:rPr>
            </w:pPr>
            <w:r w:rsidRPr="001B5179">
              <w:rPr>
                <w:rFonts w:ascii="Arial" w:hAnsi="Arial" w:cs="Arial"/>
                <w:b/>
                <w:bCs/>
                <w:sz w:val="16"/>
                <w:szCs w:val="16"/>
              </w:rPr>
              <w:t>244.400,00</w:t>
            </w:r>
          </w:p>
        </w:tc>
      </w:tr>
      <w:tr w:rsidR="00742457" w:rsidRPr="001B5179" w:rsidTr="00742457">
        <w:trPr>
          <w:trHeight w:val="243"/>
        </w:trPr>
        <w:tc>
          <w:tcPr>
            <w:tcW w:w="2916" w:type="dxa"/>
            <w:vMerge/>
            <w:tcBorders>
              <w:top w:val="single" w:sz="4" w:space="0" w:color="auto"/>
              <w:left w:val="single" w:sz="4" w:space="0" w:color="auto"/>
              <w:bottom w:val="single" w:sz="4" w:space="0" w:color="auto"/>
              <w:right w:val="single" w:sz="4" w:space="0" w:color="auto"/>
            </w:tcBorders>
            <w:vAlign w:val="center"/>
            <w:hideMark/>
          </w:tcPr>
          <w:p w:rsidR="00742457" w:rsidRPr="001B5179" w:rsidRDefault="00742457" w:rsidP="00B36A21">
            <w:pPr>
              <w:rPr>
                <w:rFonts w:ascii="Arial" w:hAnsi="Arial" w:cs="Arial"/>
                <w:b/>
                <w:bCs/>
                <w:sz w:val="16"/>
                <w:szCs w:val="16"/>
              </w:rPr>
            </w:pPr>
          </w:p>
        </w:tc>
        <w:tc>
          <w:tcPr>
            <w:tcW w:w="1261"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center"/>
              <w:rPr>
                <w:rFonts w:ascii="Arial" w:hAnsi="Arial" w:cs="Arial"/>
                <w:b/>
                <w:bCs/>
                <w:sz w:val="16"/>
                <w:szCs w:val="16"/>
              </w:rPr>
            </w:pPr>
            <w:r w:rsidRPr="001B5179">
              <w:rPr>
                <w:rFonts w:ascii="Arial" w:hAnsi="Arial" w:cs="Arial"/>
                <w:b/>
                <w:bCs/>
                <w:sz w:val="16"/>
                <w:szCs w:val="16"/>
              </w:rPr>
              <w:t>INVESTIMENTI</w:t>
            </w:r>
          </w:p>
        </w:tc>
        <w:tc>
          <w:tcPr>
            <w:tcW w:w="1630"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right"/>
              <w:rPr>
                <w:rFonts w:ascii="Arial" w:hAnsi="Arial" w:cs="Arial"/>
                <w:b/>
                <w:bCs/>
                <w:sz w:val="16"/>
                <w:szCs w:val="16"/>
              </w:rPr>
            </w:pPr>
            <w:r w:rsidRPr="001B5179">
              <w:rPr>
                <w:rFonts w:ascii="Arial" w:hAnsi="Arial" w:cs="Arial"/>
                <w:b/>
                <w:bCs/>
                <w:sz w:val="16"/>
                <w:szCs w:val="16"/>
              </w:rPr>
              <w:t>115.600,00</w:t>
            </w:r>
          </w:p>
        </w:tc>
        <w:tc>
          <w:tcPr>
            <w:tcW w:w="1576"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right"/>
              <w:rPr>
                <w:rFonts w:ascii="Arial" w:hAnsi="Arial" w:cs="Arial"/>
                <w:b/>
                <w:bCs/>
                <w:sz w:val="16"/>
                <w:szCs w:val="16"/>
              </w:rPr>
            </w:pPr>
            <w:r w:rsidRPr="001B5179">
              <w:rPr>
                <w:rFonts w:ascii="Arial" w:hAnsi="Arial" w:cs="Arial"/>
                <w:b/>
                <w:bCs/>
                <w:sz w:val="16"/>
                <w:szCs w:val="16"/>
              </w:rPr>
              <w:t>115.600,00</w:t>
            </w:r>
          </w:p>
        </w:tc>
        <w:tc>
          <w:tcPr>
            <w:tcW w:w="1153" w:type="dxa"/>
            <w:tcBorders>
              <w:top w:val="nil"/>
              <w:left w:val="nil"/>
              <w:bottom w:val="single" w:sz="4" w:space="0" w:color="auto"/>
              <w:right w:val="single" w:sz="8" w:space="0" w:color="auto"/>
            </w:tcBorders>
            <w:shd w:val="clear" w:color="auto" w:fill="auto"/>
            <w:noWrap/>
            <w:vAlign w:val="bottom"/>
            <w:hideMark/>
          </w:tcPr>
          <w:p w:rsidR="00742457" w:rsidRPr="001B5179" w:rsidRDefault="00742457" w:rsidP="00B36A21">
            <w:pPr>
              <w:jc w:val="right"/>
              <w:rPr>
                <w:rFonts w:ascii="Arial" w:hAnsi="Arial" w:cs="Arial"/>
                <w:b/>
                <w:bCs/>
                <w:sz w:val="16"/>
                <w:szCs w:val="16"/>
              </w:rPr>
            </w:pPr>
            <w:r w:rsidRPr="001B5179">
              <w:rPr>
                <w:rFonts w:ascii="Arial" w:hAnsi="Arial" w:cs="Arial"/>
                <w:b/>
                <w:bCs/>
                <w:sz w:val="16"/>
                <w:szCs w:val="16"/>
              </w:rPr>
              <w:t>115.600,00</w:t>
            </w:r>
          </w:p>
        </w:tc>
      </w:tr>
      <w:tr w:rsidR="00742457" w:rsidRPr="001B5179" w:rsidTr="00742457">
        <w:trPr>
          <w:trHeight w:val="243"/>
        </w:trPr>
        <w:tc>
          <w:tcPr>
            <w:tcW w:w="2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2457" w:rsidRPr="001B5179" w:rsidRDefault="00742457" w:rsidP="00B36A21">
            <w:pPr>
              <w:jc w:val="center"/>
              <w:rPr>
                <w:rFonts w:ascii="Arial" w:hAnsi="Arial" w:cs="Arial"/>
                <w:b/>
                <w:bCs/>
                <w:sz w:val="16"/>
                <w:szCs w:val="16"/>
              </w:rPr>
            </w:pPr>
            <w:r w:rsidRPr="001B5179">
              <w:rPr>
                <w:rFonts w:ascii="Arial" w:hAnsi="Arial" w:cs="Arial"/>
                <w:b/>
                <w:bCs/>
                <w:sz w:val="16"/>
                <w:szCs w:val="16"/>
              </w:rPr>
              <w:t> </w:t>
            </w:r>
          </w:p>
        </w:tc>
        <w:tc>
          <w:tcPr>
            <w:tcW w:w="1261"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jc w:val="center"/>
              <w:rPr>
                <w:rFonts w:ascii="Arial" w:hAnsi="Arial" w:cs="Arial"/>
                <w:b/>
                <w:bCs/>
                <w:sz w:val="16"/>
                <w:szCs w:val="16"/>
              </w:rPr>
            </w:pPr>
            <w:r w:rsidRPr="001B5179">
              <w:rPr>
                <w:rFonts w:ascii="Arial" w:hAnsi="Arial" w:cs="Arial"/>
                <w:b/>
                <w:bCs/>
                <w:sz w:val="16"/>
                <w:szCs w:val="16"/>
              </w:rPr>
              <w:t> </w:t>
            </w:r>
          </w:p>
        </w:tc>
        <w:tc>
          <w:tcPr>
            <w:tcW w:w="1630"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rPr>
                <w:rFonts w:ascii="Arial" w:hAnsi="Arial" w:cs="Arial"/>
                <w:b/>
                <w:bCs/>
                <w:sz w:val="16"/>
                <w:szCs w:val="16"/>
              </w:rPr>
            </w:pPr>
            <w:r w:rsidRPr="001B5179">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742457" w:rsidRPr="001B5179" w:rsidRDefault="00742457" w:rsidP="00B36A21">
            <w:pPr>
              <w:rPr>
                <w:rFonts w:ascii="Arial" w:hAnsi="Arial" w:cs="Arial"/>
                <w:b/>
                <w:bCs/>
                <w:sz w:val="16"/>
                <w:szCs w:val="16"/>
              </w:rPr>
            </w:pPr>
            <w:r w:rsidRPr="001B5179">
              <w:rPr>
                <w:rFonts w:ascii="Arial" w:hAnsi="Arial" w:cs="Arial"/>
                <w:b/>
                <w:bCs/>
                <w:sz w:val="16"/>
                <w:szCs w:val="16"/>
              </w:rPr>
              <w:t> </w:t>
            </w:r>
          </w:p>
        </w:tc>
        <w:tc>
          <w:tcPr>
            <w:tcW w:w="1153" w:type="dxa"/>
            <w:tcBorders>
              <w:top w:val="nil"/>
              <w:left w:val="nil"/>
              <w:bottom w:val="single" w:sz="4" w:space="0" w:color="auto"/>
              <w:right w:val="single" w:sz="8" w:space="0" w:color="auto"/>
            </w:tcBorders>
            <w:shd w:val="clear" w:color="auto" w:fill="auto"/>
            <w:noWrap/>
            <w:vAlign w:val="bottom"/>
            <w:hideMark/>
          </w:tcPr>
          <w:p w:rsidR="00742457" w:rsidRPr="001B5179" w:rsidRDefault="00742457" w:rsidP="00B36A21">
            <w:pPr>
              <w:rPr>
                <w:rFonts w:ascii="Arial" w:hAnsi="Arial" w:cs="Arial"/>
                <w:b/>
                <w:bCs/>
                <w:sz w:val="16"/>
                <w:szCs w:val="16"/>
              </w:rPr>
            </w:pPr>
            <w:r w:rsidRPr="001B5179">
              <w:rPr>
                <w:rFonts w:ascii="Arial" w:hAnsi="Arial" w:cs="Arial"/>
                <w:b/>
                <w:bCs/>
                <w:sz w:val="16"/>
                <w:szCs w:val="16"/>
              </w:rPr>
              <w:t> </w:t>
            </w:r>
          </w:p>
        </w:tc>
      </w:tr>
      <w:tr w:rsidR="00742457" w:rsidRPr="001B5179" w:rsidTr="00742457">
        <w:trPr>
          <w:trHeight w:val="258"/>
        </w:trPr>
        <w:tc>
          <w:tcPr>
            <w:tcW w:w="2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2457" w:rsidRPr="001B5179" w:rsidRDefault="00742457" w:rsidP="00B36A21">
            <w:pPr>
              <w:jc w:val="center"/>
              <w:rPr>
                <w:rFonts w:ascii="Arial" w:hAnsi="Arial" w:cs="Arial"/>
                <w:b/>
                <w:bCs/>
                <w:sz w:val="16"/>
                <w:szCs w:val="16"/>
              </w:rPr>
            </w:pPr>
            <w:r w:rsidRPr="001B5179">
              <w:rPr>
                <w:rFonts w:ascii="Arial" w:hAnsi="Arial" w:cs="Arial"/>
                <w:b/>
                <w:bCs/>
                <w:sz w:val="16"/>
                <w:szCs w:val="16"/>
              </w:rPr>
              <w:t>Totale generale</w:t>
            </w:r>
          </w:p>
        </w:tc>
        <w:tc>
          <w:tcPr>
            <w:tcW w:w="1261" w:type="dxa"/>
            <w:tcBorders>
              <w:top w:val="nil"/>
              <w:left w:val="nil"/>
              <w:bottom w:val="single" w:sz="8" w:space="0" w:color="auto"/>
              <w:right w:val="single" w:sz="4" w:space="0" w:color="auto"/>
            </w:tcBorders>
            <w:shd w:val="clear" w:color="auto" w:fill="auto"/>
            <w:noWrap/>
            <w:vAlign w:val="bottom"/>
            <w:hideMark/>
          </w:tcPr>
          <w:p w:rsidR="00742457" w:rsidRPr="001B5179" w:rsidRDefault="00742457" w:rsidP="00B36A21">
            <w:pPr>
              <w:rPr>
                <w:rFonts w:ascii="Arial" w:hAnsi="Arial" w:cs="Arial"/>
                <w:b/>
                <w:bCs/>
                <w:sz w:val="16"/>
                <w:szCs w:val="16"/>
              </w:rPr>
            </w:pPr>
            <w:r w:rsidRPr="001B5179">
              <w:rPr>
                <w:rFonts w:ascii="Arial" w:hAnsi="Arial" w:cs="Arial"/>
                <w:b/>
                <w:bCs/>
                <w:sz w:val="16"/>
                <w:szCs w:val="16"/>
              </w:rPr>
              <w:t> </w:t>
            </w:r>
          </w:p>
        </w:tc>
        <w:tc>
          <w:tcPr>
            <w:tcW w:w="1630" w:type="dxa"/>
            <w:tcBorders>
              <w:top w:val="nil"/>
              <w:left w:val="nil"/>
              <w:bottom w:val="single" w:sz="8" w:space="0" w:color="auto"/>
              <w:right w:val="single" w:sz="4" w:space="0" w:color="auto"/>
            </w:tcBorders>
            <w:shd w:val="clear" w:color="auto" w:fill="auto"/>
            <w:noWrap/>
            <w:vAlign w:val="bottom"/>
            <w:hideMark/>
          </w:tcPr>
          <w:p w:rsidR="00742457" w:rsidRPr="001B5179" w:rsidRDefault="00742457" w:rsidP="00B36A21">
            <w:pPr>
              <w:jc w:val="right"/>
              <w:rPr>
                <w:rFonts w:ascii="Arial" w:hAnsi="Arial" w:cs="Arial"/>
                <w:b/>
                <w:bCs/>
                <w:sz w:val="16"/>
                <w:szCs w:val="16"/>
              </w:rPr>
            </w:pPr>
            <w:r w:rsidRPr="001B5179">
              <w:rPr>
                <w:rFonts w:ascii="Arial" w:hAnsi="Arial" w:cs="Arial"/>
                <w:b/>
                <w:bCs/>
                <w:sz w:val="16"/>
                <w:szCs w:val="16"/>
              </w:rPr>
              <w:t>360.000,00</w:t>
            </w:r>
          </w:p>
        </w:tc>
        <w:tc>
          <w:tcPr>
            <w:tcW w:w="1576" w:type="dxa"/>
            <w:tcBorders>
              <w:top w:val="nil"/>
              <w:left w:val="nil"/>
              <w:bottom w:val="single" w:sz="8" w:space="0" w:color="auto"/>
              <w:right w:val="single" w:sz="4" w:space="0" w:color="auto"/>
            </w:tcBorders>
            <w:shd w:val="clear" w:color="auto" w:fill="auto"/>
            <w:noWrap/>
            <w:vAlign w:val="bottom"/>
            <w:hideMark/>
          </w:tcPr>
          <w:p w:rsidR="00742457" w:rsidRPr="001B5179" w:rsidRDefault="00742457" w:rsidP="00B36A21">
            <w:pPr>
              <w:jc w:val="right"/>
              <w:rPr>
                <w:rFonts w:ascii="Arial" w:hAnsi="Arial" w:cs="Arial"/>
                <w:b/>
                <w:bCs/>
                <w:sz w:val="16"/>
                <w:szCs w:val="16"/>
              </w:rPr>
            </w:pPr>
            <w:r w:rsidRPr="001B5179">
              <w:rPr>
                <w:rFonts w:ascii="Arial" w:hAnsi="Arial" w:cs="Arial"/>
                <w:b/>
                <w:bCs/>
                <w:sz w:val="16"/>
                <w:szCs w:val="16"/>
              </w:rPr>
              <w:t>360.000,00</w:t>
            </w:r>
          </w:p>
        </w:tc>
        <w:tc>
          <w:tcPr>
            <w:tcW w:w="1153" w:type="dxa"/>
            <w:tcBorders>
              <w:top w:val="nil"/>
              <w:left w:val="nil"/>
              <w:bottom w:val="single" w:sz="8" w:space="0" w:color="auto"/>
              <w:right w:val="single" w:sz="8" w:space="0" w:color="auto"/>
            </w:tcBorders>
            <w:shd w:val="clear" w:color="auto" w:fill="auto"/>
            <w:noWrap/>
            <w:vAlign w:val="bottom"/>
            <w:hideMark/>
          </w:tcPr>
          <w:p w:rsidR="00742457" w:rsidRPr="001B5179" w:rsidRDefault="00742457" w:rsidP="00B36A21">
            <w:pPr>
              <w:jc w:val="right"/>
              <w:rPr>
                <w:rFonts w:ascii="Arial" w:hAnsi="Arial" w:cs="Arial"/>
                <w:b/>
                <w:bCs/>
                <w:sz w:val="16"/>
                <w:szCs w:val="16"/>
              </w:rPr>
            </w:pPr>
            <w:r w:rsidRPr="001B5179">
              <w:rPr>
                <w:rFonts w:ascii="Arial" w:hAnsi="Arial" w:cs="Arial"/>
                <w:b/>
                <w:bCs/>
                <w:sz w:val="16"/>
                <w:szCs w:val="16"/>
              </w:rPr>
              <w:t>360.000,00</w:t>
            </w:r>
          </w:p>
        </w:tc>
      </w:tr>
    </w:tbl>
    <w:p w:rsidR="009324A6" w:rsidRDefault="009324A6" w:rsidP="00BB282E">
      <w:pPr>
        <w:jc w:val="both"/>
        <w:rPr>
          <w:b/>
          <w:color w:val="FF0000"/>
          <w:sz w:val="24"/>
          <w:szCs w:val="24"/>
        </w:rPr>
      </w:pPr>
    </w:p>
    <w:p w:rsidR="009324A6" w:rsidRDefault="009324A6" w:rsidP="00BB282E">
      <w:pPr>
        <w:jc w:val="both"/>
        <w:rPr>
          <w:b/>
          <w:color w:val="FF0000"/>
          <w:sz w:val="24"/>
          <w:szCs w:val="24"/>
        </w:rPr>
      </w:pPr>
    </w:p>
    <w:p w:rsidR="009324A6" w:rsidRDefault="009324A6" w:rsidP="00BB282E">
      <w:pPr>
        <w:jc w:val="both"/>
        <w:rPr>
          <w:b/>
          <w:color w:val="FF0000"/>
          <w:sz w:val="24"/>
          <w:szCs w:val="24"/>
        </w:rPr>
      </w:pPr>
    </w:p>
    <w:p w:rsidR="00DE62BD" w:rsidRPr="00BB133C" w:rsidRDefault="00DE62BD" w:rsidP="001108F0">
      <w:pPr>
        <w:pStyle w:val="Titolo2"/>
        <w:jc w:val="left"/>
        <w:rPr>
          <w:i/>
          <w:u w:val="single"/>
        </w:rPr>
      </w:pPr>
      <w:bookmarkStart w:id="15" w:name="_Toc469659523"/>
      <w:r w:rsidRPr="00BB133C">
        <w:rPr>
          <w:i/>
          <w:u w:val="single"/>
        </w:rPr>
        <w:t>2.3 Investimenti</w:t>
      </w:r>
      <w:bookmarkEnd w:id="15"/>
    </w:p>
    <w:p w:rsidR="00155ADD" w:rsidRDefault="00155ADD" w:rsidP="00DE62BD">
      <w:pPr>
        <w:jc w:val="both"/>
        <w:rPr>
          <w:b/>
          <w:sz w:val="24"/>
          <w:szCs w:val="24"/>
        </w:rPr>
      </w:pPr>
    </w:p>
    <w:p w:rsidR="00155ADD" w:rsidRDefault="00155ADD" w:rsidP="00C11DF3">
      <w:pPr>
        <w:ind w:firstLine="720"/>
        <w:jc w:val="both"/>
        <w:rPr>
          <w:sz w:val="24"/>
          <w:szCs w:val="24"/>
        </w:rPr>
      </w:pPr>
      <w:r w:rsidRPr="00155ADD">
        <w:rPr>
          <w:sz w:val="24"/>
          <w:szCs w:val="24"/>
        </w:rPr>
        <w:t xml:space="preserve">Si riporta nel seguito la </w:t>
      </w:r>
      <w:r w:rsidRPr="00155ADD">
        <w:rPr>
          <w:i/>
          <w:sz w:val="24"/>
          <w:szCs w:val="24"/>
        </w:rPr>
        <w:t xml:space="preserve">Tabella </w:t>
      </w:r>
      <w:r w:rsidR="00B225A0">
        <w:rPr>
          <w:i/>
          <w:sz w:val="24"/>
          <w:szCs w:val="24"/>
        </w:rPr>
        <w:t>10</w:t>
      </w:r>
      <w:r>
        <w:rPr>
          <w:i/>
          <w:sz w:val="24"/>
          <w:szCs w:val="24"/>
        </w:rPr>
        <w:t xml:space="preserve"> </w:t>
      </w:r>
      <w:r>
        <w:rPr>
          <w:sz w:val="24"/>
          <w:szCs w:val="24"/>
        </w:rPr>
        <w:t>riepilogativa del budget degli investimenti.</w:t>
      </w:r>
      <w:r w:rsidR="00C11DF3">
        <w:rPr>
          <w:sz w:val="24"/>
          <w:szCs w:val="24"/>
        </w:rPr>
        <w:t xml:space="preserve"> In linea generale, la previsione mostra un andamento fortemente decrescente nel triennio, perché si considerano soltanto i progetti già avviati o nuovi, tra quelli per i quali si possiedono informazioni certe circa i relativi finanziamenti. </w:t>
      </w:r>
    </w:p>
    <w:p w:rsidR="00C11DF3" w:rsidRDefault="00C11DF3" w:rsidP="00C11DF3">
      <w:pPr>
        <w:ind w:firstLine="720"/>
        <w:jc w:val="both"/>
        <w:rPr>
          <w:sz w:val="24"/>
          <w:szCs w:val="24"/>
        </w:rPr>
      </w:pPr>
      <w:r>
        <w:rPr>
          <w:sz w:val="24"/>
          <w:szCs w:val="24"/>
        </w:rPr>
        <w:t>Gli importi si riferiscono sia ad attività progettuali in ambito di ricerca scientifica, sia agli interventi edilizi proposti nella “Programmazione Triennale 2017-2019”.</w:t>
      </w:r>
    </w:p>
    <w:p w:rsidR="00BA5505" w:rsidRDefault="00BA5505" w:rsidP="00C11DF3">
      <w:pPr>
        <w:ind w:firstLine="720"/>
        <w:jc w:val="both"/>
        <w:rPr>
          <w:sz w:val="24"/>
          <w:szCs w:val="24"/>
        </w:rPr>
      </w:pPr>
      <w:r>
        <w:rPr>
          <w:sz w:val="24"/>
          <w:szCs w:val="24"/>
        </w:rPr>
        <w:t xml:space="preserve">Per quanto riguarda gli oneri per progetti di ricerca, si fa rimando </w:t>
      </w:r>
      <w:r w:rsidRPr="00B225A0">
        <w:rPr>
          <w:sz w:val="24"/>
          <w:szCs w:val="24"/>
        </w:rPr>
        <w:t xml:space="preserve">alla </w:t>
      </w:r>
      <w:r w:rsidRPr="00B225A0">
        <w:rPr>
          <w:i/>
          <w:sz w:val="24"/>
          <w:szCs w:val="24"/>
        </w:rPr>
        <w:t xml:space="preserve">Tabella </w:t>
      </w:r>
      <w:r w:rsidR="00B225A0" w:rsidRPr="00B225A0">
        <w:rPr>
          <w:i/>
          <w:sz w:val="24"/>
          <w:szCs w:val="24"/>
        </w:rPr>
        <w:t>6</w:t>
      </w:r>
      <w:r w:rsidRPr="00B225A0">
        <w:rPr>
          <w:sz w:val="24"/>
          <w:szCs w:val="24"/>
        </w:rPr>
        <w:t xml:space="preserve">, </w:t>
      </w:r>
      <w:r>
        <w:rPr>
          <w:sz w:val="24"/>
          <w:szCs w:val="24"/>
        </w:rPr>
        <w:t>riportata nella prima parte della presente relazione.</w:t>
      </w:r>
    </w:p>
    <w:p w:rsidR="00BA5505" w:rsidRPr="00BA5505" w:rsidRDefault="00BA5505" w:rsidP="00C11DF3">
      <w:pPr>
        <w:ind w:firstLine="720"/>
        <w:jc w:val="both"/>
        <w:rPr>
          <w:sz w:val="24"/>
          <w:szCs w:val="24"/>
        </w:rPr>
      </w:pPr>
      <w:r>
        <w:rPr>
          <w:sz w:val="24"/>
          <w:szCs w:val="24"/>
        </w:rPr>
        <w:t xml:space="preserve">Con riferimento agli interventi edilizi, si riporta di </w:t>
      </w:r>
      <w:r w:rsidRPr="00B225A0">
        <w:rPr>
          <w:sz w:val="24"/>
          <w:szCs w:val="24"/>
        </w:rPr>
        <w:t xml:space="preserve">seguito alla </w:t>
      </w:r>
      <w:r w:rsidRPr="00B225A0">
        <w:rPr>
          <w:i/>
          <w:sz w:val="24"/>
          <w:szCs w:val="24"/>
        </w:rPr>
        <w:t xml:space="preserve">Tabella </w:t>
      </w:r>
      <w:r w:rsidR="00B225A0" w:rsidRPr="00B225A0">
        <w:rPr>
          <w:i/>
          <w:sz w:val="24"/>
          <w:szCs w:val="24"/>
        </w:rPr>
        <w:t xml:space="preserve">10 </w:t>
      </w:r>
      <w:r w:rsidRPr="00B225A0">
        <w:rPr>
          <w:sz w:val="24"/>
          <w:szCs w:val="24"/>
        </w:rPr>
        <w:t xml:space="preserve">un’elencazione </w:t>
      </w:r>
      <w:r w:rsidRPr="00BA5505">
        <w:rPr>
          <w:sz w:val="24"/>
          <w:szCs w:val="24"/>
        </w:rPr>
        <w:t>dei principali progetti da finanziare.</w:t>
      </w:r>
    </w:p>
    <w:p w:rsidR="009324A6" w:rsidRDefault="009324A6" w:rsidP="00BB282E">
      <w:pPr>
        <w:jc w:val="both"/>
        <w:rPr>
          <w:b/>
          <w:color w:val="FF0000"/>
          <w:sz w:val="24"/>
          <w:szCs w:val="24"/>
        </w:rPr>
      </w:pPr>
    </w:p>
    <w:p w:rsidR="009324A6" w:rsidRPr="0038061B" w:rsidRDefault="009324A6" w:rsidP="009324A6">
      <w:pPr>
        <w:jc w:val="both"/>
        <w:rPr>
          <w:b/>
        </w:rPr>
      </w:pPr>
      <w:r w:rsidRPr="00B225A0">
        <w:rPr>
          <w:i/>
        </w:rPr>
        <w:t xml:space="preserve">Tabella </w:t>
      </w:r>
      <w:r w:rsidR="00B225A0" w:rsidRPr="00B225A0">
        <w:rPr>
          <w:i/>
        </w:rPr>
        <w:t>10</w:t>
      </w:r>
      <w:r w:rsidRPr="00B225A0">
        <w:rPr>
          <w:i/>
        </w:rPr>
        <w:t xml:space="preserve">: Budget </w:t>
      </w:r>
      <w:r>
        <w:rPr>
          <w:i/>
        </w:rPr>
        <w:t>degli investimenti</w:t>
      </w:r>
    </w:p>
    <w:p w:rsidR="009324A6" w:rsidRDefault="009324A6" w:rsidP="00BB282E">
      <w:pPr>
        <w:jc w:val="both"/>
        <w:rPr>
          <w:b/>
          <w:color w:val="FF0000"/>
          <w:sz w:val="24"/>
          <w:szCs w:val="24"/>
        </w:rPr>
      </w:pPr>
    </w:p>
    <w:p w:rsidR="009324A6" w:rsidRDefault="009324A6" w:rsidP="00BB282E">
      <w:pPr>
        <w:jc w:val="both"/>
        <w:rPr>
          <w:b/>
          <w:color w:val="FF0000"/>
          <w:sz w:val="24"/>
          <w:szCs w:val="24"/>
        </w:rPr>
      </w:pPr>
    </w:p>
    <w:tbl>
      <w:tblPr>
        <w:tblW w:w="8960" w:type="dxa"/>
        <w:tblCellMar>
          <w:left w:w="70" w:type="dxa"/>
          <w:right w:w="70" w:type="dxa"/>
        </w:tblCellMar>
        <w:tblLook w:val="04A0" w:firstRow="1" w:lastRow="0" w:firstColumn="1" w:lastColumn="0" w:noHBand="0" w:noVBand="1"/>
      </w:tblPr>
      <w:tblGrid>
        <w:gridCol w:w="1540"/>
        <w:gridCol w:w="2800"/>
        <w:gridCol w:w="1540"/>
        <w:gridCol w:w="1540"/>
        <w:gridCol w:w="1540"/>
      </w:tblGrid>
      <w:tr w:rsidR="009324A6" w:rsidRPr="009324A6" w:rsidTr="009324A6">
        <w:trPr>
          <w:trHeight w:val="402"/>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4A6" w:rsidRPr="009324A6" w:rsidRDefault="009324A6" w:rsidP="009324A6">
            <w:pPr>
              <w:rPr>
                <w:b/>
                <w:bCs/>
                <w:sz w:val="18"/>
                <w:szCs w:val="18"/>
              </w:rPr>
            </w:pPr>
            <w:r w:rsidRPr="009324A6">
              <w:rPr>
                <w:b/>
                <w:bCs/>
                <w:sz w:val="18"/>
                <w:szCs w:val="18"/>
              </w:rPr>
              <w:t>Voce COAN</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9324A6" w:rsidRPr="009324A6" w:rsidRDefault="009324A6" w:rsidP="009324A6">
            <w:pPr>
              <w:rPr>
                <w:b/>
                <w:bCs/>
                <w:sz w:val="18"/>
                <w:szCs w:val="18"/>
              </w:rPr>
            </w:pPr>
            <w:r w:rsidRPr="009324A6">
              <w:rPr>
                <w:b/>
                <w:bCs/>
                <w:sz w:val="18"/>
                <w:szCs w:val="18"/>
              </w:rPr>
              <w:t>Descrizione Voce COAN</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324A6" w:rsidRPr="009324A6" w:rsidRDefault="009324A6" w:rsidP="009324A6">
            <w:pPr>
              <w:jc w:val="center"/>
              <w:rPr>
                <w:b/>
                <w:bCs/>
                <w:sz w:val="18"/>
                <w:szCs w:val="18"/>
              </w:rPr>
            </w:pPr>
            <w:r w:rsidRPr="009324A6">
              <w:rPr>
                <w:b/>
                <w:bCs/>
                <w:sz w:val="18"/>
                <w:szCs w:val="18"/>
              </w:rPr>
              <w:t>Budget 2017</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324A6" w:rsidRPr="009324A6" w:rsidRDefault="009324A6" w:rsidP="009324A6">
            <w:pPr>
              <w:jc w:val="center"/>
              <w:rPr>
                <w:b/>
                <w:bCs/>
                <w:sz w:val="18"/>
                <w:szCs w:val="18"/>
              </w:rPr>
            </w:pPr>
            <w:r w:rsidRPr="009324A6">
              <w:rPr>
                <w:b/>
                <w:bCs/>
                <w:sz w:val="18"/>
                <w:szCs w:val="18"/>
              </w:rPr>
              <w:t>Budget 2018</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324A6" w:rsidRPr="009324A6" w:rsidRDefault="009324A6" w:rsidP="009324A6">
            <w:pPr>
              <w:jc w:val="center"/>
              <w:rPr>
                <w:b/>
                <w:bCs/>
                <w:sz w:val="18"/>
                <w:szCs w:val="18"/>
              </w:rPr>
            </w:pPr>
            <w:r w:rsidRPr="009324A6">
              <w:rPr>
                <w:b/>
                <w:bCs/>
                <w:sz w:val="18"/>
                <w:szCs w:val="18"/>
              </w:rPr>
              <w:t>Budget 2019</w:t>
            </w:r>
          </w:p>
        </w:tc>
      </w:tr>
      <w:tr w:rsidR="009324A6" w:rsidRPr="009324A6" w:rsidTr="009324A6">
        <w:trPr>
          <w:trHeight w:val="499"/>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lastRenderedPageBreak/>
              <w:t>CA.01.10.03.02</w:t>
            </w:r>
          </w:p>
        </w:tc>
        <w:tc>
          <w:tcPr>
            <w:tcW w:w="280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Brevetti</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37.994,00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27.251,00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9.061,00</w:t>
            </w:r>
          </w:p>
        </w:tc>
      </w:tr>
      <w:tr w:rsidR="009324A6" w:rsidRPr="009324A6" w:rsidTr="009324A6">
        <w:trPr>
          <w:trHeight w:val="499"/>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CA.01.10.04.02</w:t>
            </w:r>
          </w:p>
        </w:tc>
        <w:tc>
          <w:tcPr>
            <w:tcW w:w="280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Licenze d'uso</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19.100,00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14.600,00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13.100,00</w:t>
            </w:r>
          </w:p>
        </w:tc>
      </w:tr>
      <w:tr w:rsidR="009324A6" w:rsidRPr="009324A6" w:rsidTr="009324A6">
        <w:trPr>
          <w:trHeight w:val="499"/>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CA.01.10.06.04</w:t>
            </w:r>
          </w:p>
        </w:tc>
        <w:tc>
          <w:tcPr>
            <w:tcW w:w="280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Spese per migliorie ed adattamenti in corso</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0,00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0,00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0,00</w:t>
            </w:r>
          </w:p>
        </w:tc>
      </w:tr>
      <w:tr w:rsidR="009324A6" w:rsidRPr="009324A6" w:rsidTr="009324A6">
        <w:trPr>
          <w:trHeight w:val="499"/>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CA.01.10.07.01</w:t>
            </w:r>
          </w:p>
        </w:tc>
        <w:tc>
          <w:tcPr>
            <w:tcW w:w="280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Software (applicativo)</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13.000,00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6.000,00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6.000,00</w:t>
            </w:r>
          </w:p>
        </w:tc>
      </w:tr>
      <w:tr w:rsidR="009324A6" w:rsidRPr="009324A6" w:rsidTr="009324A6">
        <w:trPr>
          <w:trHeight w:val="499"/>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CA.01.10.09.02</w:t>
            </w:r>
          </w:p>
        </w:tc>
        <w:tc>
          <w:tcPr>
            <w:tcW w:w="280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Nuove costruzioni su beni di terzi</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500.000,00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2.000.000,00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500.000,00</w:t>
            </w:r>
          </w:p>
        </w:tc>
      </w:tr>
      <w:tr w:rsidR="009324A6" w:rsidRPr="009324A6" w:rsidTr="009324A6">
        <w:trPr>
          <w:trHeight w:val="499"/>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CA.01.11.02.01</w:t>
            </w:r>
          </w:p>
        </w:tc>
        <w:tc>
          <w:tcPr>
            <w:tcW w:w="280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Impianti e macchinari specifici</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0,00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0,00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0,00</w:t>
            </w:r>
          </w:p>
        </w:tc>
      </w:tr>
      <w:tr w:rsidR="009324A6" w:rsidRPr="009324A6" w:rsidTr="009324A6">
        <w:trPr>
          <w:trHeight w:val="499"/>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CA.01.11.02.05</w:t>
            </w:r>
          </w:p>
        </w:tc>
        <w:tc>
          <w:tcPr>
            <w:tcW w:w="280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Attrezzature informatiche</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999.610,00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28.000,00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28.000,00</w:t>
            </w:r>
          </w:p>
        </w:tc>
      </w:tr>
      <w:tr w:rsidR="009324A6" w:rsidRPr="009324A6" w:rsidTr="009324A6">
        <w:trPr>
          <w:trHeight w:val="499"/>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CA.01.11.02.06</w:t>
            </w:r>
          </w:p>
        </w:tc>
        <w:tc>
          <w:tcPr>
            <w:tcW w:w="280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Attrezzature didattiche</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54.500,00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54.500,00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54.500,00</w:t>
            </w:r>
          </w:p>
        </w:tc>
      </w:tr>
      <w:tr w:rsidR="009324A6" w:rsidRPr="009324A6" w:rsidTr="009324A6">
        <w:trPr>
          <w:trHeight w:val="499"/>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CA.01.11.02.07</w:t>
            </w:r>
          </w:p>
        </w:tc>
        <w:tc>
          <w:tcPr>
            <w:tcW w:w="280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Attrezzature tecnico-scientifiche</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659.785,36</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193.500,00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80.500,00</w:t>
            </w:r>
          </w:p>
        </w:tc>
      </w:tr>
      <w:tr w:rsidR="009324A6" w:rsidRPr="009324A6" w:rsidTr="009324A6">
        <w:trPr>
          <w:trHeight w:val="499"/>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CA.01.11.02.09</w:t>
            </w:r>
          </w:p>
        </w:tc>
        <w:tc>
          <w:tcPr>
            <w:tcW w:w="280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Attrezzatura generica e varia</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66.000,00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46.000,00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36.000,00</w:t>
            </w:r>
          </w:p>
        </w:tc>
      </w:tr>
      <w:tr w:rsidR="009324A6" w:rsidRPr="009324A6" w:rsidTr="009324A6">
        <w:trPr>
          <w:trHeight w:val="499"/>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CA.01.11.03.01</w:t>
            </w:r>
          </w:p>
        </w:tc>
        <w:tc>
          <w:tcPr>
            <w:tcW w:w="280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Mobili e arredi</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5.000,00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5.000,00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5.000,00</w:t>
            </w:r>
          </w:p>
        </w:tc>
      </w:tr>
      <w:tr w:rsidR="009324A6" w:rsidRPr="009324A6" w:rsidTr="009324A6">
        <w:trPr>
          <w:trHeight w:val="499"/>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CA.01.11.03.02</w:t>
            </w:r>
          </w:p>
        </w:tc>
        <w:tc>
          <w:tcPr>
            <w:tcW w:w="280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Mobili e arredi aule</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16.000,00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16.000,00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16.000,00</w:t>
            </w:r>
          </w:p>
        </w:tc>
      </w:tr>
      <w:tr w:rsidR="009324A6" w:rsidRPr="009324A6" w:rsidTr="009324A6">
        <w:trPr>
          <w:trHeight w:val="499"/>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CA.01.11.03.03</w:t>
            </w:r>
          </w:p>
        </w:tc>
        <w:tc>
          <w:tcPr>
            <w:tcW w:w="280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Macchine da ufficio</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6.000,00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6.000,00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6.000,00</w:t>
            </w:r>
          </w:p>
        </w:tc>
      </w:tr>
      <w:tr w:rsidR="009324A6" w:rsidRPr="009324A6" w:rsidTr="009324A6">
        <w:trPr>
          <w:trHeight w:val="499"/>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CA.01.11.05.01</w:t>
            </w:r>
          </w:p>
        </w:tc>
        <w:tc>
          <w:tcPr>
            <w:tcW w:w="280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Pubblicazioni università</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6.300,00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3.000,00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0,00</w:t>
            </w:r>
          </w:p>
        </w:tc>
      </w:tr>
      <w:tr w:rsidR="009324A6" w:rsidRPr="009324A6" w:rsidTr="009324A6">
        <w:trPr>
          <w:trHeight w:val="499"/>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CA.01.11.05.02</w:t>
            </w:r>
          </w:p>
        </w:tc>
        <w:tc>
          <w:tcPr>
            <w:tcW w:w="280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Volumi biblioteca</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17.500,00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20.500,00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23.500,00</w:t>
            </w:r>
          </w:p>
        </w:tc>
      </w:tr>
      <w:tr w:rsidR="009324A6" w:rsidRPr="009324A6" w:rsidTr="009324A6">
        <w:trPr>
          <w:trHeight w:val="499"/>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CA.01.11.08.01</w:t>
            </w:r>
          </w:p>
        </w:tc>
        <w:tc>
          <w:tcPr>
            <w:tcW w:w="280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Nuove costruzioni beni propri  - opere in corso</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38.544,80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0,00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0,00</w:t>
            </w:r>
          </w:p>
        </w:tc>
      </w:tr>
      <w:tr w:rsidR="009324A6" w:rsidRPr="009324A6" w:rsidTr="009324A6">
        <w:trPr>
          <w:trHeight w:val="499"/>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CA.01.11.08.02</w:t>
            </w:r>
          </w:p>
        </w:tc>
        <w:tc>
          <w:tcPr>
            <w:tcW w:w="280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Ripristino trasformazione beni propri - opere in corso</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886.526,92</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937.726,98</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341.913,49</w:t>
            </w:r>
          </w:p>
        </w:tc>
      </w:tr>
      <w:tr w:rsidR="009324A6" w:rsidRPr="009324A6" w:rsidTr="009324A6">
        <w:trPr>
          <w:trHeight w:val="499"/>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CA.01.11.08.05</w:t>
            </w:r>
          </w:p>
        </w:tc>
        <w:tc>
          <w:tcPr>
            <w:tcW w:w="280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Manutenzione straordinaria immobili beni propri</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2.773.561,11</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200.000,00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200.000,00</w:t>
            </w:r>
          </w:p>
        </w:tc>
      </w:tr>
      <w:tr w:rsidR="009324A6" w:rsidRPr="009324A6" w:rsidTr="009324A6">
        <w:trPr>
          <w:trHeight w:val="499"/>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CA.01.11.08.06</w:t>
            </w:r>
          </w:p>
        </w:tc>
        <w:tc>
          <w:tcPr>
            <w:tcW w:w="280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Manutenzione straordinaria impianti specifici e generici</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1.063.084,52</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204.000,00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204.000,00</w:t>
            </w:r>
          </w:p>
        </w:tc>
      </w:tr>
      <w:tr w:rsidR="009324A6" w:rsidRPr="009324A6" w:rsidTr="009324A6">
        <w:trPr>
          <w:trHeight w:val="499"/>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CA.01.11.08.07</w:t>
            </w:r>
          </w:p>
        </w:tc>
        <w:tc>
          <w:tcPr>
            <w:tcW w:w="280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Altre manutenzioni straordinarie</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2.000,00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2.000,00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2.000,00</w:t>
            </w:r>
          </w:p>
        </w:tc>
      </w:tr>
      <w:tr w:rsidR="009324A6" w:rsidRPr="009324A6" w:rsidTr="009324A6">
        <w:trPr>
          <w:trHeight w:val="499"/>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CA.01.11.08.08</w:t>
            </w:r>
          </w:p>
        </w:tc>
        <w:tc>
          <w:tcPr>
            <w:tcW w:w="280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rPr>
                <w:color w:val="000000"/>
                <w:sz w:val="18"/>
                <w:szCs w:val="18"/>
              </w:rPr>
            </w:pPr>
            <w:r w:rsidRPr="009324A6">
              <w:rPr>
                <w:color w:val="000000"/>
                <w:sz w:val="18"/>
                <w:szCs w:val="18"/>
              </w:rPr>
              <w:t>Consulenze tecniche per interventi edilizi</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134.798,05</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90.709,10</w:t>
            </w:r>
          </w:p>
        </w:tc>
        <w:tc>
          <w:tcPr>
            <w:tcW w:w="154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jc w:val="right"/>
              <w:rPr>
                <w:color w:val="000000"/>
                <w:sz w:val="18"/>
                <w:szCs w:val="18"/>
              </w:rPr>
            </w:pPr>
            <w:r w:rsidRPr="009324A6">
              <w:rPr>
                <w:color w:val="000000"/>
                <w:sz w:val="18"/>
                <w:szCs w:val="18"/>
              </w:rPr>
              <w:t>65.354,55</w:t>
            </w:r>
          </w:p>
        </w:tc>
      </w:tr>
      <w:tr w:rsidR="009324A6" w:rsidRPr="009324A6" w:rsidTr="009324A6">
        <w:trPr>
          <w:trHeight w:val="34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324A6" w:rsidRPr="009324A6" w:rsidRDefault="009324A6" w:rsidP="009324A6">
            <w:pPr>
              <w:rPr>
                <w:b/>
                <w:bCs/>
                <w:sz w:val="18"/>
                <w:szCs w:val="18"/>
              </w:rPr>
            </w:pPr>
            <w:r w:rsidRPr="009324A6">
              <w:rPr>
                <w:b/>
                <w:bCs/>
                <w:sz w:val="18"/>
                <w:szCs w:val="18"/>
              </w:rPr>
              <w:t> </w:t>
            </w:r>
          </w:p>
        </w:tc>
        <w:tc>
          <w:tcPr>
            <w:tcW w:w="2800" w:type="dxa"/>
            <w:tcBorders>
              <w:top w:val="nil"/>
              <w:left w:val="nil"/>
              <w:bottom w:val="single" w:sz="4" w:space="0" w:color="auto"/>
              <w:right w:val="single" w:sz="4" w:space="0" w:color="auto"/>
            </w:tcBorders>
            <w:shd w:val="clear" w:color="auto" w:fill="auto"/>
            <w:vAlign w:val="center"/>
            <w:hideMark/>
          </w:tcPr>
          <w:p w:rsidR="009324A6" w:rsidRPr="009324A6" w:rsidRDefault="009324A6" w:rsidP="009324A6">
            <w:pPr>
              <w:rPr>
                <w:b/>
                <w:bCs/>
                <w:color w:val="000000"/>
                <w:sz w:val="18"/>
                <w:szCs w:val="18"/>
              </w:rPr>
            </w:pPr>
            <w:r w:rsidRPr="009324A6">
              <w:rPr>
                <w:b/>
                <w:bCs/>
                <w:color w:val="000000"/>
                <w:sz w:val="18"/>
                <w:szCs w:val="18"/>
              </w:rPr>
              <w:t>TOTALE</w:t>
            </w:r>
          </w:p>
        </w:tc>
        <w:tc>
          <w:tcPr>
            <w:tcW w:w="1540" w:type="dxa"/>
            <w:tcBorders>
              <w:top w:val="nil"/>
              <w:left w:val="nil"/>
              <w:bottom w:val="single" w:sz="4" w:space="0" w:color="auto"/>
              <w:right w:val="single" w:sz="4" w:space="0" w:color="auto"/>
            </w:tcBorders>
            <w:shd w:val="clear" w:color="auto" w:fill="auto"/>
            <w:noWrap/>
            <w:vAlign w:val="bottom"/>
            <w:hideMark/>
          </w:tcPr>
          <w:p w:rsidR="009324A6" w:rsidRPr="009324A6" w:rsidRDefault="009324A6" w:rsidP="009324A6">
            <w:pPr>
              <w:jc w:val="right"/>
              <w:rPr>
                <w:b/>
                <w:bCs/>
                <w:sz w:val="18"/>
                <w:szCs w:val="18"/>
              </w:rPr>
            </w:pPr>
            <w:r w:rsidRPr="009324A6">
              <w:rPr>
                <w:b/>
                <w:bCs/>
                <w:sz w:val="18"/>
                <w:szCs w:val="18"/>
              </w:rPr>
              <w:t>7.299.304,76</w:t>
            </w:r>
          </w:p>
        </w:tc>
        <w:tc>
          <w:tcPr>
            <w:tcW w:w="1540" w:type="dxa"/>
            <w:tcBorders>
              <w:top w:val="nil"/>
              <w:left w:val="nil"/>
              <w:bottom w:val="single" w:sz="4" w:space="0" w:color="auto"/>
              <w:right w:val="single" w:sz="4" w:space="0" w:color="auto"/>
            </w:tcBorders>
            <w:shd w:val="clear" w:color="auto" w:fill="auto"/>
            <w:noWrap/>
            <w:vAlign w:val="bottom"/>
            <w:hideMark/>
          </w:tcPr>
          <w:p w:rsidR="009324A6" w:rsidRPr="009324A6" w:rsidRDefault="009324A6" w:rsidP="009324A6">
            <w:pPr>
              <w:jc w:val="right"/>
              <w:rPr>
                <w:b/>
                <w:bCs/>
                <w:sz w:val="18"/>
                <w:szCs w:val="18"/>
              </w:rPr>
            </w:pPr>
            <w:r w:rsidRPr="009324A6">
              <w:rPr>
                <w:b/>
                <w:bCs/>
                <w:sz w:val="18"/>
                <w:szCs w:val="18"/>
              </w:rPr>
              <w:t>3.854.787,08</w:t>
            </w:r>
          </w:p>
        </w:tc>
        <w:tc>
          <w:tcPr>
            <w:tcW w:w="1540" w:type="dxa"/>
            <w:tcBorders>
              <w:top w:val="nil"/>
              <w:left w:val="nil"/>
              <w:bottom w:val="single" w:sz="4" w:space="0" w:color="auto"/>
              <w:right w:val="single" w:sz="4" w:space="0" w:color="auto"/>
            </w:tcBorders>
            <w:shd w:val="clear" w:color="auto" w:fill="auto"/>
            <w:noWrap/>
            <w:vAlign w:val="bottom"/>
            <w:hideMark/>
          </w:tcPr>
          <w:p w:rsidR="009324A6" w:rsidRPr="009324A6" w:rsidRDefault="009324A6" w:rsidP="009324A6">
            <w:pPr>
              <w:jc w:val="right"/>
              <w:rPr>
                <w:b/>
                <w:bCs/>
                <w:sz w:val="18"/>
                <w:szCs w:val="18"/>
              </w:rPr>
            </w:pPr>
            <w:r w:rsidRPr="009324A6">
              <w:rPr>
                <w:b/>
                <w:bCs/>
                <w:sz w:val="18"/>
                <w:szCs w:val="18"/>
              </w:rPr>
              <w:t>1.590.929,04</w:t>
            </w:r>
          </w:p>
        </w:tc>
      </w:tr>
    </w:tbl>
    <w:p w:rsidR="009324A6" w:rsidRPr="006C761D" w:rsidRDefault="009324A6" w:rsidP="00BB282E">
      <w:pPr>
        <w:jc w:val="both"/>
        <w:rPr>
          <w:b/>
          <w:color w:val="FF0000"/>
          <w:sz w:val="24"/>
          <w:szCs w:val="24"/>
        </w:rPr>
      </w:pPr>
    </w:p>
    <w:p w:rsidR="0093773A" w:rsidRDefault="0093773A" w:rsidP="00BB282E">
      <w:pPr>
        <w:jc w:val="both"/>
        <w:rPr>
          <w:b/>
          <w:i/>
          <w:sz w:val="24"/>
          <w:szCs w:val="24"/>
        </w:rPr>
      </w:pPr>
    </w:p>
    <w:p w:rsidR="0093773A" w:rsidRDefault="0093773A" w:rsidP="00BB282E">
      <w:pPr>
        <w:jc w:val="both"/>
        <w:rPr>
          <w:b/>
          <w:i/>
          <w:sz w:val="24"/>
          <w:szCs w:val="24"/>
        </w:rPr>
      </w:pPr>
    </w:p>
    <w:p w:rsidR="0093773A" w:rsidRPr="0093773A" w:rsidRDefault="0093773A" w:rsidP="00BB282E">
      <w:pPr>
        <w:jc w:val="both"/>
        <w:rPr>
          <w:b/>
          <w:i/>
          <w:sz w:val="24"/>
          <w:szCs w:val="24"/>
        </w:rPr>
      </w:pPr>
      <w:r w:rsidRPr="0093773A">
        <w:rPr>
          <w:b/>
          <w:i/>
          <w:sz w:val="24"/>
          <w:szCs w:val="24"/>
        </w:rPr>
        <w:t>Interventi edilizi</w:t>
      </w:r>
    </w:p>
    <w:p w:rsidR="0093773A" w:rsidRPr="00485C0D" w:rsidRDefault="0093773A" w:rsidP="0093773A">
      <w:pPr>
        <w:pStyle w:val="Paragrafoelenco"/>
        <w:spacing w:after="200"/>
        <w:ind w:left="425" w:right="142"/>
        <w:jc w:val="both"/>
        <w:rPr>
          <w:sz w:val="22"/>
          <w:szCs w:val="22"/>
        </w:rPr>
      </w:pPr>
    </w:p>
    <w:p w:rsidR="0093773A" w:rsidRPr="00920753" w:rsidRDefault="0093773A" w:rsidP="00736B8D">
      <w:pPr>
        <w:pStyle w:val="Paragrafoelenco"/>
        <w:numPr>
          <w:ilvl w:val="0"/>
          <w:numId w:val="7"/>
        </w:numPr>
        <w:spacing w:after="80" w:line="276" w:lineRule="auto"/>
        <w:ind w:left="284"/>
        <w:contextualSpacing/>
        <w:jc w:val="both"/>
        <w:rPr>
          <w:i/>
          <w:sz w:val="24"/>
          <w:szCs w:val="24"/>
          <w:u w:val="single"/>
        </w:rPr>
      </w:pPr>
      <w:r w:rsidRPr="00920753">
        <w:rPr>
          <w:i/>
          <w:sz w:val="24"/>
          <w:szCs w:val="24"/>
          <w:u w:val="single"/>
        </w:rPr>
        <w:lastRenderedPageBreak/>
        <w:t xml:space="preserve">Progetti di nuova istituzione di cui si propone l’inserimento nella Programmazione Triennale 2017-2019 e nell’Elenco annuale 2017 richiedendone il relativo finanziamento </w:t>
      </w:r>
    </w:p>
    <w:p w:rsidR="0093773A" w:rsidRPr="00920753" w:rsidRDefault="0093773A" w:rsidP="00736B8D">
      <w:pPr>
        <w:pStyle w:val="Titolo1"/>
        <w:widowControl w:val="0"/>
        <w:numPr>
          <w:ilvl w:val="0"/>
          <w:numId w:val="6"/>
        </w:numPr>
        <w:spacing w:before="120" w:after="200" w:line="276" w:lineRule="auto"/>
        <w:ind w:right="142"/>
        <w:jc w:val="both"/>
        <w:rPr>
          <w:rFonts w:ascii="Times New Roman" w:hAnsi="Times New Roman"/>
          <w:sz w:val="24"/>
          <w:szCs w:val="24"/>
        </w:rPr>
      </w:pPr>
      <w:bookmarkStart w:id="16" w:name="_Toc469659524"/>
      <w:r w:rsidRPr="00920753">
        <w:rPr>
          <w:rFonts w:ascii="Times New Roman" w:hAnsi="Times New Roman"/>
          <w:sz w:val="24"/>
          <w:szCs w:val="24"/>
        </w:rPr>
        <w:t>Intervento di demolizione aule Celso Ulpiani e ricostruzione per realizzazione nuovi spazi da destinare a parcheggi e laboratori</w:t>
      </w:r>
      <w:bookmarkEnd w:id="16"/>
    </w:p>
    <w:p w:rsidR="0093773A" w:rsidRPr="00920753" w:rsidRDefault="0093773A" w:rsidP="0093773A">
      <w:pPr>
        <w:pStyle w:val="Paragrafoelenco"/>
        <w:spacing w:after="200"/>
        <w:ind w:left="567" w:right="142" w:hanging="142"/>
        <w:jc w:val="both"/>
        <w:rPr>
          <w:sz w:val="24"/>
          <w:szCs w:val="24"/>
        </w:rPr>
      </w:pPr>
      <w:r w:rsidRPr="00920753">
        <w:rPr>
          <w:sz w:val="24"/>
          <w:szCs w:val="24"/>
        </w:rPr>
        <w:t>- Importo progetto</w:t>
      </w:r>
      <w:r w:rsidRPr="00920753">
        <w:rPr>
          <w:bCs/>
          <w:sz w:val="24"/>
          <w:szCs w:val="24"/>
        </w:rPr>
        <w:t>:</w:t>
      </w:r>
      <w:r w:rsidRPr="00920753">
        <w:rPr>
          <w:sz w:val="24"/>
          <w:szCs w:val="24"/>
        </w:rPr>
        <w:t xml:space="preserve"> € 3.000.000,00</w:t>
      </w:r>
      <w:r w:rsidR="00920753">
        <w:rPr>
          <w:sz w:val="24"/>
          <w:szCs w:val="24"/>
        </w:rPr>
        <w:t>.</w:t>
      </w:r>
    </w:p>
    <w:p w:rsidR="0093773A" w:rsidRPr="00920753" w:rsidRDefault="0093773A" w:rsidP="00736B8D">
      <w:pPr>
        <w:pStyle w:val="Titolo1"/>
        <w:widowControl w:val="0"/>
        <w:numPr>
          <w:ilvl w:val="0"/>
          <w:numId w:val="6"/>
        </w:numPr>
        <w:spacing w:before="120" w:after="200" w:line="276" w:lineRule="auto"/>
        <w:ind w:right="142"/>
        <w:jc w:val="both"/>
        <w:rPr>
          <w:rFonts w:ascii="Times New Roman" w:hAnsi="Times New Roman"/>
          <w:sz w:val="24"/>
          <w:szCs w:val="24"/>
        </w:rPr>
      </w:pPr>
      <w:bookmarkStart w:id="17" w:name="_Toc469659525"/>
      <w:r w:rsidRPr="00920753">
        <w:rPr>
          <w:rFonts w:ascii="Times New Roman" w:hAnsi="Times New Roman"/>
          <w:sz w:val="24"/>
          <w:szCs w:val="24"/>
        </w:rPr>
        <w:t>Adeguamento locali da destinare alla Sezione Fisica Tecnica</w:t>
      </w:r>
      <w:bookmarkEnd w:id="17"/>
    </w:p>
    <w:p w:rsidR="0093773A" w:rsidRPr="00920753" w:rsidRDefault="0093773A" w:rsidP="0093773A">
      <w:pPr>
        <w:pStyle w:val="Paragrafoelenco"/>
        <w:spacing w:after="200"/>
        <w:ind w:left="567" w:right="142" w:hanging="142"/>
        <w:jc w:val="both"/>
        <w:rPr>
          <w:sz w:val="24"/>
          <w:szCs w:val="24"/>
        </w:rPr>
      </w:pPr>
      <w:r w:rsidRPr="00920753">
        <w:rPr>
          <w:sz w:val="24"/>
          <w:szCs w:val="24"/>
        </w:rPr>
        <w:t>- Importo progetto</w:t>
      </w:r>
      <w:r w:rsidRPr="00920753">
        <w:rPr>
          <w:bCs/>
          <w:sz w:val="24"/>
          <w:szCs w:val="24"/>
        </w:rPr>
        <w:t>:</w:t>
      </w:r>
      <w:r w:rsidRPr="00920753">
        <w:rPr>
          <w:sz w:val="24"/>
          <w:szCs w:val="24"/>
        </w:rPr>
        <w:t xml:space="preserve"> € 250.000,00</w:t>
      </w:r>
      <w:r w:rsidR="00920753">
        <w:rPr>
          <w:sz w:val="24"/>
          <w:szCs w:val="24"/>
        </w:rPr>
        <w:t>.</w:t>
      </w:r>
    </w:p>
    <w:p w:rsidR="0093773A" w:rsidRPr="00920753" w:rsidRDefault="0093773A" w:rsidP="00736B8D">
      <w:pPr>
        <w:pStyle w:val="Titolo1"/>
        <w:widowControl w:val="0"/>
        <w:numPr>
          <w:ilvl w:val="0"/>
          <w:numId w:val="6"/>
        </w:numPr>
        <w:spacing w:before="120" w:after="200" w:line="276" w:lineRule="auto"/>
        <w:ind w:right="142"/>
        <w:jc w:val="both"/>
        <w:rPr>
          <w:rFonts w:ascii="Times New Roman" w:hAnsi="Times New Roman"/>
          <w:i w:val="0"/>
          <w:sz w:val="24"/>
          <w:szCs w:val="24"/>
        </w:rPr>
      </w:pPr>
      <w:bookmarkStart w:id="18" w:name="_Toc469659526"/>
      <w:r w:rsidRPr="00920753">
        <w:rPr>
          <w:rFonts w:ascii="Times New Roman" w:hAnsi="Times New Roman"/>
          <w:sz w:val="24"/>
          <w:szCs w:val="24"/>
        </w:rPr>
        <w:t>Adeguamento funzionale dell’edificio all’interno del comprensorio Ex Scianatico denominato palazzina uffici</w:t>
      </w:r>
      <w:bookmarkEnd w:id="18"/>
    </w:p>
    <w:p w:rsidR="0093773A" w:rsidRPr="00920753" w:rsidRDefault="0093773A" w:rsidP="0093773A">
      <w:pPr>
        <w:pStyle w:val="Paragrafoelenco"/>
        <w:spacing w:after="200"/>
        <w:ind w:left="567" w:right="142" w:hanging="142"/>
        <w:jc w:val="both"/>
        <w:rPr>
          <w:sz w:val="24"/>
          <w:szCs w:val="24"/>
        </w:rPr>
      </w:pPr>
      <w:r w:rsidRPr="00920753">
        <w:rPr>
          <w:sz w:val="24"/>
          <w:szCs w:val="24"/>
        </w:rPr>
        <w:t>- Importo progetto</w:t>
      </w:r>
      <w:r w:rsidRPr="00920753">
        <w:rPr>
          <w:bCs/>
          <w:sz w:val="24"/>
          <w:szCs w:val="24"/>
        </w:rPr>
        <w:t>:</w:t>
      </w:r>
      <w:r w:rsidRPr="00920753">
        <w:rPr>
          <w:sz w:val="24"/>
          <w:szCs w:val="24"/>
        </w:rPr>
        <w:t xml:space="preserve"> € 200.000,00</w:t>
      </w:r>
      <w:r w:rsidR="00920753">
        <w:rPr>
          <w:sz w:val="24"/>
          <w:szCs w:val="24"/>
        </w:rPr>
        <w:t>.</w:t>
      </w:r>
    </w:p>
    <w:p w:rsidR="0093773A" w:rsidRPr="00920753" w:rsidRDefault="0093773A" w:rsidP="00736B8D">
      <w:pPr>
        <w:pStyle w:val="Paragrafoelenco"/>
        <w:numPr>
          <w:ilvl w:val="0"/>
          <w:numId w:val="7"/>
        </w:numPr>
        <w:spacing w:after="80" w:line="276" w:lineRule="auto"/>
        <w:ind w:left="284"/>
        <w:contextualSpacing/>
        <w:jc w:val="both"/>
        <w:rPr>
          <w:i/>
          <w:sz w:val="24"/>
          <w:szCs w:val="24"/>
          <w:u w:val="single"/>
        </w:rPr>
      </w:pPr>
      <w:r w:rsidRPr="00920753">
        <w:rPr>
          <w:i/>
          <w:sz w:val="24"/>
          <w:szCs w:val="24"/>
          <w:u w:val="single"/>
        </w:rPr>
        <w:t xml:space="preserve">Ulteriori risorse necessarie per l’attuazione dei seguenti progetti </w:t>
      </w:r>
    </w:p>
    <w:p w:rsidR="0093773A" w:rsidRPr="00920753" w:rsidRDefault="0093773A" w:rsidP="00736B8D">
      <w:pPr>
        <w:pStyle w:val="Titolo1"/>
        <w:widowControl w:val="0"/>
        <w:numPr>
          <w:ilvl w:val="0"/>
          <w:numId w:val="9"/>
        </w:numPr>
        <w:spacing w:before="120" w:after="200" w:line="276" w:lineRule="auto"/>
        <w:ind w:right="142"/>
        <w:jc w:val="both"/>
        <w:rPr>
          <w:rFonts w:ascii="Times New Roman" w:hAnsi="Times New Roman"/>
          <w:caps/>
          <w:sz w:val="24"/>
          <w:szCs w:val="24"/>
        </w:rPr>
      </w:pPr>
      <w:bookmarkStart w:id="19" w:name="_Toc469659527"/>
      <w:r w:rsidRPr="00920753">
        <w:rPr>
          <w:rFonts w:ascii="Times New Roman" w:hAnsi="Times New Roman"/>
          <w:sz w:val="24"/>
          <w:szCs w:val="24"/>
        </w:rPr>
        <w:t>Riqualificazione del Centro Stella</w:t>
      </w:r>
      <w:bookmarkEnd w:id="19"/>
      <w:r w:rsidRPr="00920753">
        <w:rPr>
          <w:rFonts w:ascii="Times New Roman" w:hAnsi="Times New Roman"/>
          <w:sz w:val="24"/>
          <w:szCs w:val="24"/>
        </w:rPr>
        <w:t xml:space="preserve"> </w:t>
      </w:r>
    </w:p>
    <w:p w:rsidR="0093773A" w:rsidRPr="00920753" w:rsidRDefault="0093773A" w:rsidP="0093773A">
      <w:pPr>
        <w:pStyle w:val="Paragrafoelenco"/>
        <w:spacing w:after="200"/>
        <w:ind w:left="567" w:right="142" w:hanging="142"/>
        <w:jc w:val="both"/>
        <w:rPr>
          <w:sz w:val="24"/>
          <w:szCs w:val="24"/>
        </w:rPr>
      </w:pPr>
      <w:r w:rsidRPr="00920753">
        <w:rPr>
          <w:sz w:val="24"/>
          <w:szCs w:val="24"/>
        </w:rPr>
        <w:t>- Importo progetto</w:t>
      </w:r>
      <w:r w:rsidRPr="00920753">
        <w:rPr>
          <w:bCs/>
          <w:sz w:val="24"/>
          <w:szCs w:val="24"/>
        </w:rPr>
        <w:t>:</w:t>
      </w:r>
      <w:r w:rsidRPr="00920753">
        <w:rPr>
          <w:sz w:val="24"/>
          <w:szCs w:val="24"/>
        </w:rPr>
        <w:t xml:space="preserve"> € 91.000,00</w:t>
      </w:r>
      <w:r w:rsidR="00920753">
        <w:rPr>
          <w:sz w:val="24"/>
          <w:szCs w:val="24"/>
        </w:rPr>
        <w:t>.</w:t>
      </w:r>
    </w:p>
    <w:p w:rsidR="0093773A" w:rsidRPr="00920753" w:rsidRDefault="0093773A" w:rsidP="00736B8D">
      <w:pPr>
        <w:pStyle w:val="Titolo1"/>
        <w:widowControl w:val="0"/>
        <w:numPr>
          <w:ilvl w:val="0"/>
          <w:numId w:val="5"/>
        </w:numPr>
        <w:spacing w:before="120" w:after="200" w:line="276" w:lineRule="auto"/>
        <w:ind w:right="142"/>
        <w:jc w:val="both"/>
        <w:rPr>
          <w:rFonts w:ascii="Times New Roman" w:hAnsi="Times New Roman"/>
          <w:caps/>
          <w:sz w:val="24"/>
          <w:szCs w:val="24"/>
        </w:rPr>
      </w:pPr>
      <w:bookmarkStart w:id="20" w:name="_Toc469659528"/>
      <w:r w:rsidRPr="00920753">
        <w:rPr>
          <w:rFonts w:ascii="Times New Roman" w:hAnsi="Times New Roman"/>
          <w:sz w:val="24"/>
          <w:szCs w:val="24"/>
        </w:rPr>
        <w:t>Realizzazione collegamento Architettura – Corpo Biblioteca</w:t>
      </w:r>
      <w:bookmarkEnd w:id="20"/>
    </w:p>
    <w:p w:rsidR="0093773A" w:rsidRPr="00920753" w:rsidRDefault="0093773A" w:rsidP="0093773A">
      <w:pPr>
        <w:pStyle w:val="Paragrafoelenco"/>
        <w:spacing w:after="200"/>
        <w:ind w:left="567" w:right="142" w:hanging="142"/>
        <w:jc w:val="both"/>
        <w:rPr>
          <w:sz w:val="24"/>
          <w:szCs w:val="24"/>
        </w:rPr>
      </w:pPr>
      <w:r w:rsidRPr="00920753">
        <w:rPr>
          <w:sz w:val="24"/>
          <w:szCs w:val="24"/>
        </w:rPr>
        <w:t>- Importo progetto</w:t>
      </w:r>
      <w:r w:rsidRPr="00920753">
        <w:rPr>
          <w:bCs/>
          <w:sz w:val="24"/>
          <w:szCs w:val="24"/>
        </w:rPr>
        <w:t>:</w:t>
      </w:r>
      <w:r w:rsidRPr="00920753">
        <w:rPr>
          <w:sz w:val="24"/>
          <w:szCs w:val="24"/>
        </w:rPr>
        <w:t xml:space="preserve"> € 95.000,00</w:t>
      </w:r>
      <w:r w:rsidR="00920753">
        <w:rPr>
          <w:sz w:val="24"/>
          <w:szCs w:val="24"/>
        </w:rPr>
        <w:t>.</w:t>
      </w:r>
    </w:p>
    <w:p w:rsidR="0093773A" w:rsidRPr="00920753" w:rsidRDefault="0093773A" w:rsidP="00736B8D">
      <w:pPr>
        <w:pStyle w:val="Titolo1"/>
        <w:widowControl w:val="0"/>
        <w:numPr>
          <w:ilvl w:val="0"/>
          <w:numId w:val="5"/>
        </w:numPr>
        <w:spacing w:before="120" w:after="200" w:line="276" w:lineRule="auto"/>
        <w:ind w:right="142"/>
        <w:jc w:val="both"/>
        <w:rPr>
          <w:rFonts w:ascii="Times New Roman" w:hAnsi="Times New Roman"/>
          <w:caps/>
          <w:sz w:val="24"/>
          <w:szCs w:val="24"/>
        </w:rPr>
      </w:pPr>
      <w:bookmarkStart w:id="21" w:name="_Toc469659529"/>
      <w:r w:rsidRPr="00920753">
        <w:rPr>
          <w:rFonts w:ascii="Times New Roman" w:hAnsi="Times New Roman"/>
          <w:sz w:val="24"/>
          <w:szCs w:val="24"/>
        </w:rPr>
        <w:t>Prog 07/04 – DM577-586/00 - Costruz. Ex Dip. Ing. Strutturale Chiusura Progetto –</w:t>
      </w:r>
      <w:bookmarkEnd w:id="21"/>
      <w:r w:rsidRPr="00920753">
        <w:rPr>
          <w:rFonts w:ascii="Times New Roman" w:hAnsi="Times New Roman"/>
          <w:sz w:val="24"/>
          <w:szCs w:val="24"/>
        </w:rPr>
        <w:t xml:space="preserve"> </w:t>
      </w:r>
    </w:p>
    <w:p w:rsidR="0093773A" w:rsidRPr="00920753" w:rsidRDefault="0093773A" w:rsidP="0093773A">
      <w:pPr>
        <w:pStyle w:val="Titolo1"/>
        <w:ind w:left="360"/>
        <w:rPr>
          <w:rFonts w:ascii="Times New Roman" w:hAnsi="Times New Roman"/>
          <w:b/>
          <w:caps/>
          <w:sz w:val="24"/>
          <w:szCs w:val="24"/>
        </w:rPr>
      </w:pPr>
      <w:bookmarkStart w:id="22" w:name="_Toc469659530"/>
      <w:r w:rsidRPr="00920753">
        <w:rPr>
          <w:rFonts w:ascii="Times New Roman" w:hAnsi="Times New Roman"/>
          <w:sz w:val="24"/>
          <w:szCs w:val="24"/>
        </w:rPr>
        <w:t>Richiesta incremento fondi per liquidazione lavori come da collaudo - € 38.544,80</w:t>
      </w:r>
      <w:bookmarkEnd w:id="22"/>
    </w:p>
    <w:p w:rsidR="0093773A" w:rsidRPr="00920753" w:rsidRDefault="0093773A" w:rsidP="00736B8D">
      <w:pPr>
        <w:pStyle w:val="Titolo1"/>
        <w:widowControl w:val="0"/>
        <w:numPr>
          <w:ilvl w:val="0"/>
          <w:numId w:val="5"/>
        </w:numPr>
        <w:spacing w:before="120" w:after="200" w:line="276" w:lineRule="auto"/>
        <w:ind w:right="142"/>
        <w:jc w:val="both"/>
        <w:rPr>
          <w:rFonts w:ascii="Times New Roman" w:hAnsi="Times New Roman"/>
          <w:sz w:val="24"/>
          <w:szCs w:val="24"/>
        </w:rPr>
      </w:pPr>
      <w:bookmarkStart w:id="23" w:name="_Toc469659531"/>
      <w:r w:rsidRPr="00920753">
        <w:rPr>
          <w:rFonts w:ascii="Times New Roman" w:hAnsi="Times New Roman"/>
          <w:sz w:val="24"/>
          <w:szCs w:val="24"/>
        </w:rPr>
        <w:t>Consulenze Tecniche per Interventi Edilizi</w:t>
      </w:r>
      <w:bookmarkEnd w:id="23"/>
    </w:p>
    <w:p w:rsidR="0093773A" w:rsidRPr="00920753" w:rsidRDefault="0093773A" w:rsidP="0093773A">
      <w:pPr>
        <w:pStyle w:val="Paragrafoelenco"/>
        <w:spacing w:after="200"/>
        <w:ind w:left="567" w:right="142" w:hanging="142"/>
        <w:jc w:val="both"/>
        <w:rPr>
          <w:sz w:val="24"/>
          <w:szCs w:val="24"/>
        </w:rPr>
      </w:pPr>
      <w:r w:rsidRPr="00920753">
        <w:rPr>
          <w:sz w:val="24"/>
          <w:szCs w:val="24"/>
        </w:rPr>
        <w:t>- Importo progetto</w:t>
      </w:r>
      <w:r w:rsidRPr="00920753">
        <w:rPr>
          <w:bCs/>
          <w:sz w:val="24"/>
          <w:szCs w:val="24"/>
        </w:rPr>
        <w:t>:</w:t>
      </w:r>
      <w:r w:rsidRPr="00920753">
        <w:rPr>
          <w:sz w:val="24"/>
          <w:szCs w:val="24"/>
        </w:rPr>
        <w:t xml:space="preserve"> € 40.000,00</w:t>
      </w:r>
      <w:r w:rsidR="00920753">
        <w:rPr>
          <w:sz w:val="24"/>
          <w:szCs w:val="24"/>
        </w:rPr>
        <w:t>.</w:t>
      </w:r>
    </w:p>
    <w:p w:rsidR="0093773A" w:rsidRPr="00920753" w:rsidRDefault="0093773A" w:rsidP="00736B8D">
      <w:pPr>
        <w:pStyle w:val="Paragrafoelenco"/>
        <w:numPr>
          <w:ilvl w:val="0"/>
          <w:numId w:val="7"/>
        </w:numPr>
        <w:spacing w:after="80" w:line="276" w:lineRule="auto"/>
        <w:ind w:left="284"/>
        <w:contextualSpacing/>
        <w:jc w:val="both"/>
        <w:rPr>
          <w:i/>
          <w:sz w:val="24"/>
          <w:szCs w:val="24"/>
          <w:u w:val="single"/>
        </w:rPr>
      </w:pPr>
      <w:r w:rsidRPr="00920753">
        <w:rPr>
          <w:i/>
          <w:sz w:val="24"/>
          <w:szCs w:val="24"/>
          <w:u w:val="single"/>
        </w:rPr>
        <w:t>Servizi di nuova istituzione di cui si propone l’inserimento nella Programmazione biennale 2017-2018 e nell’Elenco annuale 2017 richiedendone il relativo finanziamento</w:t>
      </w:r>
    </w:p>
    <w:p w:rsidR="0093773A" w:rsidRPr="00920753" w:rsidRDefault="0093773A" w:rsidP="00736B8D">
      <w:pPr>
        <w:pStyle w:val="Titolo1"/>
        <w:widowControl w:val="0"/>
        <w:numPr>
          <w:ilvl w:val="0"/>
          <w:numId w:val="8"/>
        </w:numPr>
        <w:spacing w:before="120" w:after="200" w:line="276" w:lineRule="auto"/>
        <w:ind w:right="142"/>
        <w:jc w:val="both"/>
        <w:rPr>
          <w:rFonts w:ascii="Times New Roman" w:hAnsi="Times New Roman"/>
          <w:sz w:val="24"/>
          <w:szCs w:val="24"/>
        </w:rPr>
      </w:pPr>
      <w:bookmarkStart w:id="24" w:name="_Toc469659532"/>
      <w:r w:rsidRPr="00920753">
        <w:rPr>
          <w:rFonts w:ascii="Times New Roman" w:hAnsi="Times New Roman"/>
          <w:sz w:val="24"/>
          <w:szCs w:val="24"/>
        </w:rPr>
        <w:t>Progettazione dell’intervento di riqualificazione ed adeguamento delle Grandi Aule Vecchie</w:t>
      </w:r>
      <w:bookmarkEnd w:id="24"/>
    </w:p>
    <w:p w:rsidR="006C761D" w:rsidRPr="008C4829" w:rsidRDefault="0093773A" w:rsidP="00920753">
      <w:pPr>
        <w:pStyle w:val="Paragrafoelenco"/>
        <w:spacing w:after="200"/>
        <w:ind w:left="567" w:right="142" w:hanging="142"/>
        <w:jc w:val="both"/>
        <w:rPr>
          <w:b/>
          <w:color w:val="548DD4" w:themeColor="text2" w:themeTint="99"/>
          <w:sz w:val="24"/>
          <w:szCs w:val="24"/>
        </w:rPr>
      </w:pPr>
      <w:r w:rsidRPr="00920753">
        <w:rPr>
          <w:sz w:val="24"/>
          <w:szCs w:val="24"/>
        </w:rPr>
        <w:t>- Importo servizio</w:t>
      </w:r>
      <w:r w:rsidRPr="00920753">
        <w:rPr>
          <w:bCs/>
          <w:sz w:val="24"/>
          <w:szCs w:val="24"/>
        </w:rPr>
        <w:t>:</w:t>
      </w:r>
      <w:r w:rsidRPr="00920753">
        <w:rPr>
          <w:sz w:val="24"/>
          <w:szCs w:val="24"/>
        </w:rPr>
        <w:t xml:space="preserve"> € 250.000,00</w:t>
      </w:r>
      <w:r w:rsidR="00920753">
        <w:rPr>
          <w:sz w:val="24"/>
          <w:szCs w:val="24"/>
        </w:rPr>
        <w:t>.</w:t>
      </w:r>
    </w:p>
    <w:p w:rsidR="00E47B44" w:rsidRDefault="00E47B44" w:rsidP="00BB282E">
      <w:pPr>
        <w:jc w:val="both"/>
        <w:rPr>
          <w:b/>
          <w:color w:val="548DD4" w:themeColor="text2" w:themeTint="99"/>
          <w:sz w:val="24"/>
          <w:szCs w:val="24"/>
        </w:rPr>
      </w:pPr>
    </w:p>
    <w:p w:rsidR="00E47B44" w:rsidRPr="00E14E65" w:rsidRDefault="002C03AE" w:rsidP="00E14E65">
      <w:pPr>
        <w:pStyle w:val="Titolo1"/>
        <w:rPr>
          <w:rFonts w:ascii="Times New Roman" w:hAnsi="Times New Roman"/>
          <w:b/>
          <w:i w:val="0"/>
          <w:caps/>
          <w:color w:val="548DD4" w:themeColor="text2" w:themeTint="99"/>
          <w:sz w:val="24"/>
          <w:szCs w:val="24"/>
        </w:rPr>
      </w:pPr>
      <w:bookmarkStart w:id="25" w:name="_Toc469659533"/>
      <w:r w:rsidRPr="00E14E65">
        <w:rPr>
          <w:rFonts w:ascii="Times New Roman" w:hAnsi="Times New Roman"/>
          <w:b/>
          <w:i w:val="0"/>
          <w:caps/>
          <w:sz w:val="24"/>
          <w:szCs w:val="24"/>
        </w:rPr>
        <w:t>3</w:t>
      </w:r>
      <w:r w:rsidR="001108F0">
        <w:rPr>
          <w:rFonts w:ascii="Times New Roman" w:hAnsi="Times New Roman"/>
          <w:b/>
          <w:i w:val="0"/>
          <w:caps/>
          <w:sz w:val="24"/>
          <w:szCs w:val="24"/>
        </w:rPr>
        <w:t>.</w:t>
      </w:r>
      <w:r w:rsidR="002702B2" w:rsidRPr="00E14E65">
        <w:rPr>
          <w:rFonts w:ascii="Times New Roman" w:hAnsi="Times New Roman"/>
          <w:b/>
          <w:i w:val="0"/>
          <w:caps/>
          <w:sz w:val="24"/>
          <w:szCs w:val="24"/>
        </w:rPr>
        <w:t>Coperture economico-</w:t>
      </w:r>
      <w:r w:rsidR="00E47B44" w:rsidRPr="00E14E65">
        <w:rPr>
          <w:rFonts w:ascii="Times New Roman" w:hAnsi="Times New Roman"/>
          <w:b/>
          <w:i w:val="0"/>
          <w:caps/>
          <w:sz w:val="24"/>
          <w:szCs w:val="24"/>
        </w:rPr>
        <w:t>finanziarie</w:t>
      </w:r>
      <w:bookmarkEnd w:id="25"/>
    </w:p>
    <w:p w:rsidR="00E47B44" w:rsidRDefault="00E47B44" w:rsidP="00BB282E">
      <w:pPr>
        <w:jc w:val="both"/>
        <w:rPr>
          <w:b/>
          <w:color w:val="548DD4" w:themeColor="text2" w:themeTint="99"/>
          <w:sz w:val="24"/>
          <w:szCs w:val="24"/>
        </w:rPr>
      </w:pPr>
    </w:p>
    <w:p w:rsidR="00E47B44" w:rsidRDefault="00E47B44" w:rsidP="002702B2">
      <w:pPr>
        <w:ind w:firstLine="720"/>
        <w:jc w:val="both"/>
        <w:rPr>
          <w:sz w:val="24"/>
          <w:szCs w:val="24"/>
        </w:rPr>
      </w:pPr>
      <w:r w:rsidRPr="002702B2">
        <w:rPr>
          <w:sz w:val="24"/>
          <w:szCs w:val="24"/>
        </w:rPr>
        <w:t xml:space="preserve">A riguardo di quanto sopra rappresentato, in termini di esposizione </w:t>
      </w:r>
      <w:r w:rsidR="002702B2" w:rsidRPr="002702B2">
        <w:rPr>
          <w:sz w:val="24"/>
          <w:szCs w:val="24"/>
        </w:rPr>
        <w:t>dell’Ateneo ai diversi oneri di competenza, si riporta nel seguito la rappresentazione sinte</w:t>
      </w:r>
      <w:r w:rsidR="002702B2">
        <w:rPr>
          <w:sz w:val="24"/>
          <w:szCs w:val="24"/>
        </w:rPr>
        <w:t>tica della manovra di pareggio di bilancio del 2017 (bilancio autorizzatorio) e del 2018 (bilancio non autorizzatorio). Il 2019, stanti le attuali fonti informative, presenta un utile presunto.</w:t>
      </w:r>
    </w:p>
    <w:p w:rsidR="002702B2" w:rsidRDefault="002702B2" w:rsidP="002702B2">
      <w:pPr>
        <w:ind w:firstLine="720"/>
        <w:jc w:val="both"/>
        <w:rPr>
          <w:sz w:val="24"/>
          <w:szCs w:val="24"/>
        </w:rPr>
      </w:pPr>
    </w:p>
    <w:p w:rsidR="00735CEF" w:rsidRDefault="00735CEF" w:rsidP="002702B2">
      <w:pPr>
        <w:tabs>
          <w:tab w:val="left" w:pos="0"/>
        </w:tabs>
        <w:spacing w:line="360" w:lineRule="auto"/>
        <w:ind w:left="1065"/>
        <w:rPr>
          <w:i/>
        </w:rPr>
      </w:pPr>
    </w:p>
    <w:p w:rsidR="00735CEF" w:rsidRDefault="00735CEF" w:rsidP="002702B2">
      <w:pPr>
        <w:tabs>
          <w:tab w:val="left" w:pos="0"/>
        </w:tabs>
        <w:spacing w:line="360" w:lineRule="auto"/>
        <w:ind w:left="1065"/>
        <w:rPr>
          <w:i/>
        </w:rPr>
      </w:pPr>
    </w:p>
    <w:p w:rsidR="00735CEF" w:rsidRDefault="00735CEF" w:rsidP="002702B2">
      <w:pPr>
        <w:tabs>
          <w:tab w:val="left" w:pos="0"/>
        </w:tabs>
        <w:spacing w:line="360" w:lineRule="auto"/>
        <w:ind w:left="1065"/>
        <w:rPr>
          <w:i/>
        </w:rPr>
      </w:pPr>
    </w:p>
    <w:p w:rsidR="00735CEF" w:rsidRDefault="00735CEF" w:rsidP="002702B2">
      <w:pPr>
        <w:tabs>
          <w:tab w:val="left" w:pos="0"/>
        </w:tabs>
        <w:spacing w:line="360" w:lineRule="auto"/>
        <w:ind w:left="1065"/>
        <w:rPr>
          <w:i/>
        </w:rPr>
      </w:pPr>
    </w:p>
    <w:p w:rsidR="00735CEF" w:rsidRDefault="00735CEF" w:rsidP="002702B2">
      <w:pPr>
        <w:tabs>
          <w:tab w:val="left" w:pos="0"/>
        </w:tabs>
        <w:spacing w:line="360" w:lineRule="auto"/>
        <w:ind w:left="1065"/>
        <w:rPr>
          <w:i/>
        </w:rPr>
      </w:pPr>
    </w:p>
    <w:p w:rsidR="00735CEF" w:rsidRDefault="00735CEF" w:rsidP="002702B2">
      <w:pPr>
        <w:tabs>
          <w:tab w:val="left" w:pos="0"/>
        </w:tabs>
        <w:spacing w:line="360" w:lineRule="auto"/>
        <w:ind w:left="1065"/>
        <w:rPr>
          <w:i/>
        </w:rPr>
      </w:pPr>
    </w:p>
    <w:p w:rsidR="00735CEF" w:rsidRDefault="00735CEF" w:rsidP="002702B2">
      <w:pPr>
        <w:tabs>
          <w:tab w:val="left" w:pos="0"/>
        </w:tabs>
        <w:spacing w:line="360" w:lineRule="auto"/>
        <w:ind w:left="1065"/>
        <w:rPr>
          <w:i/>
        </w:rPr>
      </w:pPr>
    </w:p>
    <w:p w:rsidR="00735CEF" w:rsidRDefault="00735CEF" w:rsidP="002702B2">
      <w:pPr>
        <w:tabs>
          <w:tab w:val="left" w:pos="0"/>
        </w:tabs>
        <w:spacing w:line="360" w:lineRule="auto"/>
        <w:ind w:left="1065"/>
        <w:rPr>
          <w:i/>
        </w:rPr>
      </w:pPr>
    </w:p>
    <w:p w:rsidR="00735CEF" w:rsidRDefault="00735CEF" w:rsidP="002702B2">
      <w:pPr>
        <w:tabs>
          <w:tab w:val="left" w:pos="0"/>
        </w:tabs>
        <w:spacing w:line="360" w:lineRule="auto"/>
        <w:ind w:left="1065"/>
        <w:rPr>
          <w:i/>
        </w:rPr>
      </w:pPr>
    </w:p>
    <w:p w:rsidR="001108F0" w:rsidRDefault="001108F0" w:rsidP="002702B2">
      <w:pPr>
        <w:tabs>
          <w:tab w:val="left" w:pos="0"/>
        </w:tabs>
        <w:spacing w:line="360" w:lineRule="auto"/>
        <w:ind w:left="1065"/>
        <w:rPr>
          <w:i/>
        </w:rPr>
      </w:pPr>
    </w:p>
    <w:p w:rsidR="002702B2" w:rsidRDefault="002702B2" w:rsidP="002702B2">
      <w:pPr>
        <w:tabs>
          <w:tab w:val="left" w:pos="0"/>
        </w:tabs>
        <w:spacing w:line="360" w:lineRule="auto"/>
        <w:ind w:left="1065"/>
        <w:rPr>
          <w:i/>
        </w:rPr>
      </w:pPr>
      <w:r w:rsidRPr="002C03AE">
        <w:rPr>
          <w:i/>
        </w:rPr>
        <w:t xml:space="preserve">Tabella </w:t>
      </w:r>
      <w:r w:rsidR="002C03AE" w:rsidRPr="002C03AE">
        <w:rPr>
          <w:i/>
        </w:rPr>
        <w:t>11</w:t>
      </w:r>
      <w:r w:rsidRPr="002C03AE">
        <w:rPr>
          <w:i/>
        </w:rPr>
        <w:t xml:space="preserve">: Coperture </w:t>
      </w:r>
      <w:r w:rsidRPr="002702B2">
        <w:rPr>
          <w:i/>
        </w:rPr>
        <w:t>economico-finanziarie</w:t>
      </w:r>
    </w:p>
    <w:p w:rsidR="002702B2" w:rsidRDefault="002702B2" w:rsidP="002702B2">
      <w:pPr>
        <w:tabs>
          <w:tab w:val="left" w:pos="0"/>
        </w:tabs>
        <w:spacing w:line="360" w:lineRule="auto"/>
        <w:ind w:left="1065"/>
        <w:rPr>
          <w:i/>
        </w:rPr>
      </w:pPr>
    </w:p>
    <w:tbl>
      <w:tblPr>
        <w:tblW w:w="6660" w:type="dxa"/>
        <w:tblCellMar>
          <w:left w:w="70" w:type="dxa"/>
          <w:right w:w="70" w:type="dxa"/>
        </w:tblCellMar>
        <w:tblLook w:val="04A0" w:firstRow="1" w:lastRow="0" w:firstColumn="1" w:lastColumn="0" w:noHBand="0" w:noVBand="1"/>
      </w:tblPr>
      <w:tblGrid>
        <w:gridCol w:w="4957"/>
        <w:gridCol w:w="1703"/>
      </w:tblGrid>
      <w:tr w:rsidR="00076645" w:rsidRPr="00076645" w:rsidTr="00076645">
        <w:trPr>
          <w:trHeight w:val="300"/>
        </w:trPr>
        <w:tc>
          <w:tcPr>
            <w:tcW w:w="4957" w:type="dxa"/>
            <w:tcBorders>
              <w:top w:val="single" w:sz="4" w:space="0" w:color="auto"/>
              <w:left w:val="single" w:sz="4" w:space="0" w:color="auto"/>
              <w:bottom w:val="nil"/>
              <w:right w:val="nil"/>
            </w:tcBorders>
            <w:shd w:val="clear" w:color="auto" w:fill="auto"/>
            <w:noWrap/>
            <w:vAlign w:val="bottom"/>
            <w:hideMark/>
          </w:tcPr>
          <w:p w:rsidR="00076645" w:rsidRPr="00076645" w:rsidRDefault="00076645" w:rsidP="00076645">
            <w:pPr>
              <w:jc w:val="center"/>
              <w:rPr>
                <w:b/>
                <w:bCs/>
                <w:color w:val="000000"/>
                <w:sz w:val="18"/>
                <w:szCs w:val="18"/>
              </w:rPr>
            </w:pPr>
            <w:r w:rsidRPr="00076645">
              <w:rPr>
                <w:b/>
                <w:bCs/>
                <w:color w:val="000000"/>
                <w:sz w:val="18"/>
                <w:szCs w:val="18"/>
              </w:rPr>
              <w:t>RISULTATO ECONOMICO  2017</w:t>
            </w:r>
          </w:p>
        </w:tc>
        <w:tc>
          <w:tcPr>
            <w:tcW w:w="1703" w:type="dxa"/>
            <w:tcBorders>
              <w:top w:val="single" w:sz="4" w:space="0" w:color="auto"/>
              <w:left w:val="nil"/>
              <w:bottom w:val="nil"/>
              <w:right w:val="single" w:sz="4" w:space="0" w:color="auto"/>
            </w:tcBorders>
            <w:shd w:val="clear" w:color="auto" w:fill="auto"/>
            <w:noWrap/>
            <w:vAlign w:val="bottom"/>
            <w:hideMark/>
          </w:tcPr>
          <w:p w:rsidR="00076645" w:rsidRPr="00076645" w:rsidRDefault="00076645" w:rsidP="00076645">
            <w:pPr>
              <w:rPr>
                <w:b/>
                <w:bCs/>
                <w:color w:val="000000"/>
                <w:sz w:val="18"/>
                <w:szCs w:val="18"/>
              </w:rPr>
            </w:pPr>
            <w:r w:rsidRPr="00076645">
              <w:rPr>
                <w:b/>
                <w:bCs/>
                <w:color w:val="000000"/>
                <w:sz w:val="18"/>
                <w:szCs w:val="18"/>
              </w:rPr>
              <w:t xml:space="preserve">-        2.936.916,48 </w:t>
            </w:r>
          </w:p>
        </w:tc>
      </w:tr>
      <w:tr w:rsidR="00076645" w:rsidRPr="00076645" w:rsidTr="00076645">
        <w:trPr>
          <w:trHeight w:val="300"/>
        </w:trPr>
        <w:tc>
          <w:tcPr>
            <w:tcW w:w="4957" w:type="dxa"/>
            <w:tcBorders>
              <w:top w:val="nil"/>
              <w:left w:val="single" w:sz="4" w:space="0" w:color="auto"/>
              <w:bottom w:val="nil"/>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c>
          <w:tcPr>
            <w:tcW w:w="1703" w:type="dxa"/>
            <w:tcBorders>
              <w:top w:val="nil"/>
              <w:left w:val="nil"/>
              <w:bottom w:val="nil"/>
              <w:right w:val="single" w:sz="4" w:space="0" w:color="auto"/>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r>
      <w:tr w:rsidR="00076645" w:rsidRPr="00076645" w:rsidTr="00076645">
        <w:trPr>
          <w:trHeight w:val="300"/>
        </w:trPr>
        <w:tc>
          <w:tcPr>
            <w:tcW w:w="4957" w:type="dxa"/>
            <w:tcBorders>
              <w:top w:val="nil"/>
              <w:left w:val="single" w:sz="4" w:space="0" w:color="auto"/>
              <w:bottom w:val="nil"/>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NECESSITA' DI UTILIZZO RISERVE DISPONIBILI DA COFI</w:t>
            </w:r>
          </w:p>
        </w:tc>
        <w:tc>
          <w:tcPr>
            <w:tcW w:w="1703" w:type="dxa"/>
            <w:tcBorders>
              <w:top w:val="nil"/>
              <w:left w:val="nil"/>
              <w:bottom w:val="nil"/>
              <w:right w:val="single" w:sz="4" w:space="0" w:color="auto"/>
            </w:tcBorders>
            <w:shd w:val="clear" w:color="auto" w:fill="auto"/>
            <w:noWrap/>
            <w:vAlign w:val="bottom"/>
            <w:hideMark/>
          </w:tcPr>
          <w:p w:rsidR="00076645" w:rsidRPr="00076645" w:rsidRDefault="00076645" w:rsidP="00076645">
            <w:pPr>
              <w:jc w:val="right"/>
              <w:rPr>
                <w:color w:val="000000"/>
                <w:sz w:val="18"/>
                <w:szCs w:val="18"/>
              </w:rPr>
            </w:pPr>
            <w:r w:rsidRPr="00076645">
              <w:rPr>
                <w:color w:val="000000"/>
                <w:sz w:val="18"/>
                <w:szCs w:val="18"/>
              </w:rPr>
              <w:t xml:space="preserve">          2.936.916,48 </w:t>
            </w:r>
          </w:p>
        </w:tc>
      </w:tr>
      <w:tr w:rsidR="00076645" w:rsidRPr="00076645" w:rsidTr="00076645">
        <w:trPr>
          <w:trHeight w:val="300"/>
        </w:trPr>
        <w:tc>
          <w:tcPr>
            <w:tcW w:w="4957" w:type="dxa"/>
            <w:tcBorders>
              <w:top w:val="nil"/>
              <w:left w:val="single" w:sz="4" w:space="0" w:color="auto"/>
              <w:bottom w:val="nil"/>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c>
          <w:tcPr>
            <w:tcW w:w="1703" w:type="dxa"/>
            <w:tcBorders>
              <w:top w:val="nil"/>
              <w:left w:val="nil"/>
              <w:bottom w:val="nil"/>
              <w:right w:val="single" w:sz="4" w:space="0" w:color="auto"/>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r>
      <w:tr w:rsidR="00076645" w:rsidRPr="00076645" w:rsidTr="00076645">
        <w:trPr>
          <w:trHeight w:val="300"/>
        </w:trPr>
        <w:tc>
          <w:tcPr>
            <w:tcW w:w="4957" w:type="dxa"/>
            <w:tcBorders>
              <w:top w:val="nil"/>
              <w:left w:val="single" w:sz="4" w:space="0" w:color="auto"/>
              <w:bottom w:val="nil"/>
              <w:right w:val="nil"/>
            </w:tcBorders>
            <w:shd w:val="clear" w:color="auto" w:fill="auto"/>
            <w:noWrap/>
            <w:vAlign w:val="bottom"/>
            <w:hideMark/>
          </w:tcPr>
          <w:p w:rsidR="00076645" w:rsidRPr="00076645" w:rsidRDefault="00076645" w:rsidP="00076645">
            <w:pPr>
              <w:rPr>
                <w:b/>
                <w:bCs/>
                <w:color w:val="000000"/>
                <w:sz w:val="18"/>
                <w:szCs w:val="18"/>
              </w:rPr>
            </w:pPr>
            <w:r w:rsidRPr="00076645">
              <w:rPr>
                <w:b/>
                <w:bCs/>
                <w:color w:val="000000"/>
                <w:sz w:val="18"/>
                <w:szCs w:val="18"/>
              </w:rPr>
              <w:t> </w:t>
            </w:r>
          </w:p>
        </w:tc>
        <w:tc>
          <w:tcPr>
            <w:tcW w:w="1703" w:type="dxa"/>
            <w:tcBorders>
              <w:top w:val="nil"/>
              <w:left w:val="nil"/>
              <w:bottom w:val="nil"/>
              <w:right w:val="single" w:sz="4" w:space="0" w:color="auto"/>
            </w:tcBorders>
            <w:shd w:val="clear" w:color="auto" w:fill="auto"/>
            <w:noWrap/>
            <w:vAlign w:val="bottom"/>
            <w:hideMark/>
          </w:tcPr>
          <w:p w:rsidR="00076645" w:rsidRPr="00076645" w:rsidRDefault="00076645" w:rsidP="00076645">
            <w:pPr>
              <w:rPr>
                <w:b/>
                <w:bCs/>
                <w:color w:val="000000"/>
                <w:sz w:val="18"/>
                <w:szCs w:val="18"/>
              </w:rPr>
            </w:pPr>
            <w:r w:rsidRPr="00076645">
              <w:rPr>
                <w:b/>
                <w:bCs/>
                <w:color w:val="000000"/>
                <w:sz w:val="18"/>
                <w:szCs w:val="18"/>
              </w:rPr>
              <w:t> </w:t>
            </w:r>
          </w:p>
        </w:tc>
      </w:tr>
      <w:tr w:rsidR="00076645" w:rsidRPr="00076645" w:rsidTr="00076645">
        <w:trPr>
          <w:trHeight w:val="300"/>
        </w:trPr>
        <w:tc>
          <w:tcPr>
            <w:tcW w:w="4957" w:type="dxa"/>
            <w:tcBorders>
              <w:top w:val="nil"/>
              <w:left w:val="single" w:sz="4" w:space="0" w:color="auto"/>
              <w:bottom w:val="nil"/>
              <w:right w:val="nil"/>
            </w:tcBorders>
            <w:shd w:val="clear" w:color="auto" w:fill="auto"/>
            <w:noWrap/>
            <w:vAlign w:val="bottom"/>
            <w:hideMark/>
          </w:tcPr>
          <w:p w:rsidR="00076645" w:rsidRPr="00076645" w:rsidRDefault="00076645" w:rsidP="00076645">
            <w:pPr>
              <w:rPr>
                <w:b/>
                <w:bCs/>
                <w:color w:val="000000"/>
                <w:sz w:val="18"/>
                <w:szCs w:val="18"/>
              </w:rPr>
            </w:pPr>
            <w:r w:rsidRPr="00076645">
              <w:rPr>
                <w:b/>
                <w:bCs/>
                <w:color w:val="000000"/>
                <w:sz w:val="18"/>
                <w:szCs w:val="18"/>
              </w:rPr>
              <w:t>FABBISOGNO DA BUDGET INVESTIMENTI</w:t>
            </w:r>
          </w:p>
        </w:tc>
        <w:tc>
          <w:tcPr>
            <w:tcW w:w="1703" w:type="dxa"/>
            <w:tcBorders>
              <w:top w:val="nil"/>
              <w:left w:val="nil"/>
              <w:bottom w:val="nil"/>
              <w:right w:val="single" w:sz="4" w:space="0" w:color="auto"/>
            </w:tcBorders>
            <w:shd w:val="clear" w:color="auto" w:fill="auto"/>
            <w:noWrap/>
            <w:vAlign w:val="bottom"/>
            <w:hideMark/>
          </w:tcPr>
          <w:p w:rsidR="00076645" w:rsidRPr="00076645" w:rsidRDefault="00076645" w:rsidP="00076645">
            <w:pPr>
              <w:jc w:val="right"/>
              <w:rPr>
                <w:color w:val="000000"/>
                <w:sz w:val="18"/>
                <w:szCs w:val="18"/>
              </w:rPr>
            </w:pPr>
            <w:r w:rsidRPr="00076645">
              <w:rPr>
                <w:color w:val="000000"/>
                <w:sz w:val="18"/>
                <w:szCs w:val="18"/>
              </w:rPr>
              <w:t>7.299.304,76</w:t>
            </w:r>
          </w:p>
        </w:tc>
      </w:tr>
      <w:tr w:rsidR="00076645" w:rsidRPr="00076645" w:rsidTr="00076645">
        <w:trPr>
          <w:trHeight w:val="300"/>
        </w:trPr>
        <w:tc>
          <w:tcPr>
            <w:tcW w:w="4957" w:type="dxa"/>
            <w:tcBorders>
              <w:top w:val="nil"/>
              <w:left w:val="single" w:sz="4" w:space="0" w:color="auto"/>
              <w:bottom w:val="nil"/>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c>
          <w:tcPr>
            <w:tcW w:w="1703" w:type="dxa"/>
            <w:tcBorders>
              <w:top w:val="nil"/>
              <w:left w:val="nil"/>
              <w:bottom w:val="nil"/>
              <w:right w:val="single" w:sz="4" w:space="0" w:color="auto"/>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r>
      <w:tr w:rsidR="00076645" w:rsidRPr="00076645" w:rsidTr="00076645">
        <w:trPr>
          <w:trHeight w:val="300"/>
        </w:trPr>
        <w:tc>
          <w:tcPr>
            <w:tcW w:w="4957" w:type="dxa"/>
            <w:tcBorders>
              <w:top w:val="nil"/>
              <w:left w:val="single" w:sz="4" w:space="0" w:color="auto"/>
              <w:bottom w:val="nil"/>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FINANZIAMENTI SPECIFICI A COPERTURA</w:t>
            </w:r>
          </w:p>
        </w:tc>
        <w:tc>
          <w:tcPr>
            <w:tcW w:w="1703" w:type="dxa"/>
            <w:tcBorders>
              <w:top w:val="nil"/>
              <w:left w:val="nil"/>
              <w:bottom w:val="nil"/>
              <w:right w:val="single" w:sz="4" w:space="0" w:color="auto"/>
            </w:tcBorders>
            <w:shd w:val="clear" w:color="auto" w:fill="auto"/>
            <w:noWrap/>
            <w:vAlign w:val="bottom"/>
            <w:hideMark/>
          </w:tcPr>
          <w:p w:rsidR="00076645" w:rsidRPr="00076645" w:rsidRDefault="00076645" w:rsidP="00076645">
            <w:pPr>
              <w:jc w:val="right"/>
              <w:rPr>
                <w:color w:val="000000"/>
                <w:sz w:val="18"/>
                <w:szCs w:val="18"/>
              </w:rPr>
            </w:pPr>
            <w:r w:rsidRPr="00076645">
              <w:rPr>
                <w:color w:val="000000"/>
                <w:sz w:val="18"/>
                <w:szCs w:val="18"/>
              </w:rPr>
              <w:t xml:space="preserve">          1.052.534,15 </w:t>
            </w:r>
          </w:p>
        </w:tc>
      </w:tr>
      <w:tr w:rsidR="00076645" w:rsidRPr="00076645" w:rsidTr="00076645">
        <w:trPr>
          <w:trHeight w:val="300"/>
        </w:trPr>
        <w:tc>
          <w:tcPr>
            <w:tcW w:w="4957" w:type="dxa"/>
            <w:tcBorders>
              <w:top w:val="nil"/>
              <w:left w:val="single" w:sz="4" w:space="0" w:color="auto"/>
              <w:bottom w:val="nil"/>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c>
          <w:tcPr>
            <w:tcW w:w="1703" w:type="dxa"/>
            <w:tcBorders>
              <w:top w:val="nil"/>
              <w:left w:val="nil"/>
              <w:bottom w:val="nil"/>
              <w:right w:val="single" w:sz="4" w:space="0" w:color="auto"/>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r>
      <w:tr w:rsidR="00076645" w:rsidRPr="00076645" w:rsidTr="00076645">
        <w:trPr>
          <w:trHeight w:val="300"/>
        </w:trPr>
        <w:tc>
          <w:tcPr>
            <w:tcW w:w="4957" w:type="dxa"/>
            <w:tcBorders>
              <w:top w:val="nil"/>
              <w:left w:val="single" w:sz="4" w:space="0" w:color="auto"/>
              <w:bottom w:val="nil"/>
              <w:right w:val="nil"/>
            </w:tcBorders>
            <w:shd w:val="clear" w:color="auto" w:fill="auto"/>
            <w:noWrap/>
            <w:vAlign w:val="bottom"/>
            <w:hideMark/>
          </w:tcPr>
          <w:p w:rsidR="00076645" w:rsidRPr="00076645" w:rsidRDefault="00076645" w:rsidP="00076645">
            <w:pPr>
              <w:rPr>
                <w:b/>
                <w:bCs/>
                <w:color w:val="000000"/>
                <w:sz w:val="18"/>
                <w:szCs w:val="18"/>
              </w:rPr>
            </w:pPr>
            <w:r w:rsidRPr="00076645">
              <w:rPr>
                <w:b/>
                <w:bCs/>
                <w:color w:val="000000"/>
                <w:sz w:val="18"/>
                <w:szCs w:val="18"/>
              </w:rPr>
              <w:t>FABBISOGNO NETTO DA BUDGET INVESTIMENTI</w:t>
            </w:r>
          </w:p>
        </w:tc>
        <w:tc>
          <w:tcPr>
            <w:tcW w:w="1703" w:type="dxa"/>
            <w:tcBorders>
              <w:top w:val="nil"/>
              <w:left w:val="nil"/>
              <w:bottom w:val="nil"/>
              <w:right w:val="single" w:sz="4" w:space="0" w:color="auto"/>
            </w:tcBorders>
            <w:shd w:val="clear" w:color="auto" w:fill="auto"/>
            <w:noWrap/>
            <w:vAlign w:val="bottom"/>
            <w:hideMark/>
          </w:tcPr>
          <w:p w:rsidR="00076645" w:rsidRPr="00076645" w:rsidRDefault="00076645" w:rsidP="00076645">
            <w:pPr>
              <w:jc w:val="right"/>
              <w:rPr>
                <w:b/>
                <w:bCs/>
                <w:color w:val="000000"/>
                <w:sz w:val="18"/>
                <w:szCs w:val="18"/>
              </w:rPr>
            </w:pPr>
            <w:r w:rsidRPr="00076645">
              <w:rPr>
                <w:b/>
                <w:bCs/>
                <w:color w:val="000000"/>
                <w:sz w:val="18"/>
                <w:szCs w:val="18"/>
              </w:rPr>
              <w:t>6.246.770,61</w:t>
            </w:r>
          </w:p>
        </w:tc>
      </w:tr>
      <w:tr w:rsidR="00076645" w:rsidRPr="00076645" w:rsidTr="00076645">
        <w:trPr>
          <w:trHeight w:val="300"/>
        </w:trPr>
        <w:tc>
          <w:tcPr>
            <w:tcW w:w="4957" w:type="dxa"/>
            <w:tcBorders>
              <w:top w:val="nil"/>
              <w:left w:val="single" w:sz="4" w:space="0" w:color="auto"/>
              <w:bottom w:val="nil"/>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c>
          <w:tcPr>
            <w:tcW w:w="1703" w:type="dxa"/>
            <w:tcBorders>
              <w:top w:val="nil"/>
              <w:left w:val="nil"/>
              <w:bottom w:val="nil"/>
              <w:right w:val="single" w:sz="4" w:space="0" w:color="auto"/>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r>
      <w:tr w:rsidR="00076645" w:rsidRPr="00076645" w:rsidTr="00076645">
        <w:trPr>
          <w:trHeight w:val="300"/>
        </w:trPr>
        <w:tc>
          <w:tcPr>
            <w:tcW w:w="4957" w:type="dxa"/>
            <w:tcBorders>
              <w:top w:val="nil"/>
              <w:left w:val="single" w:sz="4" w:space="0" w:color="auto"/>
              <w:bottom w:val="nil"/>
              <w:right w:val="nil"/>
            </w:tcBorders>
            <w:shd w:val="clear" w:color="auto" w:fill="auto"/>
            <w:noWrap/>
            <w:vAlign w:val="bottom"/>
            <w:hideMark/>
          </w:tcPr>
          <w:p w:rsidR="00076645" w:rsidRPr="00076645" w:rsidRDefault="00076645" w:rsidP="00076645">
            <w:pPr>
              <w:rPr>
                <w:b/>
                <w:bCs/>
                <w:color w:val="000000"/>
                <w:sz w:val="18"/>
                <w:szCs w:val="18"/>
              </w:rPr>
            </w:pPr>
            <w:r w:rsidRPr="00076645">
              <w:rPr>
                <w:b/>
                <w:bCs/>
                <w:color w:val="000000"/>
                <w:sz w:val="18"/>
                <w:szCs w:val="18"/>
              </w:rPr>
              <w:t>TOTALE FABBISOGNO 2017</w:t>
            </w:r>
          </w:p>
        </w:tc>
        <w:tc>
          <w:tcPr>
            <w:tcW w:w="1703" w:type="dxa"/>
            <w:tcBorders>
              <w:top w:val="nil"/>
              <w:left w:val="nil"/>
              <w:bottom w:val="nil"/>
              <w:right w:val="single" w:sz="4" w:space="0" w:color="auto"/>
            </w:tcBorders>
            <w:shd w:val="clear" w:color="auto" w:fill="auto"/>
            <w:noWrap/>
            <w:vAlign w:val="bottom"/>
            <w:hideMark/>
          </w:tcPr>
          <w:p w:rsidR="00076645" w:rsidRPr="00076645" w:rsidRDefault="00076645" w:rsidP="00076645">
            <w:pPr>
              <w:jc w:val="right"/>
              <w:rPr>
                <w:b/>
                <w:bCs/>
                <w:color w:val="000000"/>
                <w:sz w:val="18"/>
                <w:szCs w:val="18"/>
              </w:rPr>
            </w:pPr>
            <w:r w:rsidRPr="00076645">
              <w:rPr>
                <w:b/>
                <w:bCs/>
                <w:color w:val="000000"/>
                <w:sz w:val="18"/>
                <w:szCs w:val="18"/>
              </w:rPr>
              <w:t xml:space="preserve">          9.183.687,09 </w:t>
            </w:r>
          </w:p>
        </w:tc>
      </w:tr>
      <w:tr w:rsidR="00076645" w:rsidRPr="00076645" w:rsidTr="00076645">
        <w:trPr>
          <w:trHeight w:val="300"/>
        </w:trPr>
        <w:tc>
          <w:tcPr>
            <w:tcW w:w="4957" w:type="dxa"/>
            <w:tcBorders>
              <w:top w:val="nil"/>
              <w:left w:val="single" w:sz="4" w:space="0" w:color="auto"/>
              <w:bottom w:val="single" w:sz="4" w:space="0" w:color="auto"/>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c>
          <w:tcPr>
            <w:tcW w:w="1703" w:type="dxa"/>
            <w:tcBorders>
              <w:top w:val="nil"/>
              <w:left w:val="nil"/>
              <w:bottom w:val="single" w:sz="4" w:space="0" w:color="auto"/>
              <w:right w:val="single" w:sz="4" w:space="0" w:color="auto"/>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r>
    </w:tbl>
    <w:p w:rsidR="00076645" w:rsidRDefault="00076645" w:rsidP="002702B2">
      <w:pPr>
        <w:tabs>
          <w:tab w:val="left" w:pos="0"/>
        </w:tabs>
        <w:spacing w:line="360" w:lineRule="auto"/>
        <w:ind w:left="1065"/>
        <w:rPr>
          <w:i/>
        </w:rPr>
      </w:pPr>
    </w:p>
    <w:p w:rsidR="00076645" w:rsidRDefault="00076645" w:rsidP="002702B2">
      <w:pPr>
        <w:tabs>
          <w:tab w:val="left" w:pos="0"/>
        </w:tabs>
        <w:spacing w:line="360" w:lineRule="auto"/>
        <w:ind w:left="1065"/>
        <w:rPr>
          <w:i/>
        </w:rPr>
      </w:pPr>
    </w:p>
    <w:tbl>
      <w:tblPr>
        <w:tblW w:w="6880" w:type="dxa"/>
        <w:tblCellMar>
          <w:left w:w="70" w:type="dxa"/>
          <w:right w:w="70" w:type="dxa"/>
        </w:tblCellMar>
        <w:tblLook w:val="04A0" w:firstRow="1" w:lastRow="0" w:firstColumn="1" w:lastColumn="0" w:noHBand="0" w:noVBand="1"/>
      </w:tblPr>
      <w:tblGrid>
        <w:gridCol w:w="2490"/>
        <w:gridCol w:w="2550"/>
        <w:gridCol w:w="1840"/>
      </w:tblGrid>
      <w:tr w:rsidR="00076645" w:rsidRPr="00076645" w:rsidTr="00076645">
        <w:trPr>
          <w:trHeight w:val="300"/>
        </w:trPr>
        <w:tc>
          <w:tcPr>
            <w:tcW w:w="5040" w:type="dxa"/>
            <w:gridSpan w:val="2"/>
            <w:tcBorders>
              <w:top w:val="single" w:sz="4" w:space="0" w:color="auto"/>
              <w:left w:val="single" w:sz="4" w:space="0" w:color="auto"/>
              <w:bottom w:val="nil"/>
              <w:right w:val="nil"/>
            </w:tcBorders>
            <w:shd w:val="clear" w:color="auto" w:fill="auto"/>
            <w:noWrap/>
            <w:vAlign w:val="bottom"/>
            <w:hideMark/>
          </w:tcPr>
          <w:p w:rsidR="00076645" w:rsidRPr="00076645" w:rsidRDefault="00076645" w:rsidP="00076645">
            <w:pPr>
              <w:rPr>
                <w:b/>
                <w:bCs/>
                <w:color w:val="000000"/>
                <w:sz w:val="18"/>
                <w:szCs w:val="18"/>
              </w:rPr>
            </w:pPr>
            <w:r w:rsidRPr="00076645">
              <w:rPr>
                <w:b/>
                <w:bCs/>
                <w:color w:val="000000"/>
                <w:sz w:val="18"/>
                <w:szCs w:val="18"/>
              </w:rPr>
              <w:t>SITUAZIONE DA BILANCIO AL 31.12.15</w:t>
            </w:r>
          </w:p>
        </w:tc>
        <w:tc>
          <w:tcPr>
            <w:tcW w:w="1840" w:type="dxa"/>
            <w:tcBorders>
              <w:top w:val="single" w:sz="4" w:space="0" w:color="auto"/>
              <w:left w:val="nil"/>
              <w:bottom w:val="nil"/>
              <w:right w:val="single" w:sz="4" w:space="0" w:color="auto"/>
            </w:tcBorders>
            <w:shd w:val="clear" w:color="auto" w:fill="auto"/>
            <w:noWrap/>
            <w:vAlign w:val="bottom"/>
            <w:hideMark/>
          </w:tcPr>
          <w:p w:rsidR="00076645" w:rsidRPr="00076645" w:rsidRDefault="00076645" w:rsidP="00076645">
            <w:pPr>
              <w:rPr>
                <w:b/>
                <w:bCs/>
                <w:color w:val="000000"/>
                <w:sz w:val="18"/>
                <w:szCs w:val="18"/>
              </w:rPr>
            </w:pPr>
            <w:r w:rsidRPr="00076645">
              <w:rPr>
                <w:b/>
                <w:bCs/>
                <w:color w:val="000000"/>
                <w:sz w:val="18"/>
                <w:szCs w:val="18"/>
              </w:rPr>
              <w:t> </w:t>
            </w:r>
          </w:p>
        </w:tc>
      </w:tr>
      <w:tr w:rsidR="00076645" w:rsidRPr="00076645" w:rsidTr="00076645">
        <w:trPr>
          <w:trHeight w:val="300"/>
        </w:trPr>
        <w:tc>
          <w:tcPr>
            <w:tcW w:w="2490" w:type="dxa"/>
            <w:tcBorders>
              <w:top w:val="nil"/>
              <w:left w:val="single" w:sz="4" w:space="0" w:color="auto"/>
              <w:bottom w:val="nil"/>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c>
          <w:tcPr>
            <w:tcW w:w="2550" w:type="dxa"/>
            <w:tcBorders>
              <w:top w:val="nil"/>
              <w:left w:val="nil"/>
              <w:bottom w:val="nil"/>
              <w:right w:val="nil"/>
            </w:tcBorders>
            <w:shd w:val="clear" w:color="auto" w:fill="auto"/>
            <w:noWrap/>
            <w:vAlign w:val="bottom"/>
            <w:hideMark/>
          </w:tcPr>
          <w:p w:rsidR="00076645" w:rsidRPr="00076645" w:rsidRDefault="00076645" w:rsidP="00076645">
            <w:pPr>
              <w:rPr>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r>
      <w:tr w:rsidR="00076645" w:rsidRPr="00076645" w:rsidTr="00076645">
        <w:trPr>
          <w:trHeight w:val="300"/>
        </w:trPr>
        <w:tc>
          <w:tcPr>
            <w:tcW w:w="2490" w:type="dxa"/>
            <w:tcBorders>
              <w:top w:val="nil"/>
              <w:left w:val="single" w:sz="4" w:space="0" w:color="auto"/>
              <w:bottom w:val="nil"/>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Riserve vincolate per progetti</w:t>
            </w:r>
          </w:p>
        </w:tc>
        <w:tc>
          <w:tcPr>
            <w:tcW w:w="2550" w:type="dxa"/>
            <w:tcBorders>
              <w:top w:val="nil"/>
              <w:left w:val="nil"/>
              <w:bottom w:val="nil"/>
              <w:right w:val="nil"/>
            </w:tcBorders>
            <w:shd w:val="clear" w:color="auto" w:fill="auto"/>
            <w:noWrap/>
            <w:vAlign w:val="bottom"/>
            <w:hideMark/>
          </w:tcPr>
          <w:p w:rsidR="00076645" w:rsidRPr="00076645" w:rsidRDefault="00076645" w:rsidP="00076645">
            <w:pPr>
              <w:rPr>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xml:space="preserve">               24.321.453,00 </w:t>
            </w:r>
          </w:p>
        </w:tc>
      </w:tr>
      <w:tr w:rsidR="00076645" w:rsidRPr="00076645" w:rsidTr="00076645">
        <w:trPr>
          <w:trHeight w:val="300"/>
        </w:trPr>
        <w:tc>
          <w:tcPr>
            <w:tcW w:w="5040" w:type="dxa"/>
            <w:gridSpan w:val="2"/>
            <w:tcBorders>
              <w:top w:val="nil"/>
              <w:left w:val="single" w:sz="4" w:space="0" w:color="auto"/>
              <w:bottom w:val="nil"/>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xml:space="preserve">Riserve </w:t>
            </w:r>
            <w:r>
              <w:rPr>
                <w:color w:val="000000"/>
                <w:sz w:val="18"/>
                <w:szCs w:val="18"/>
              </w:rPr>
              <w:t>disponibili</w:t>
            </w:r>
            <w:r w:rsidRPr="00076645">
              <w:rPr>
                <w:color w:val="000000"/>
                <w:sz w:val="18"/>
                <w:szCs w:val="18"/>
              </w:rPr>
              <w:t xml:space="preserve"> da COFI (utili di esercizi precedenti)</w:t>
            </w:r>
          </w:p>
        </w:tc>
        <w:tc>
          <w:tcPr>
            <w:tcW w:w="1840" w:type="dxa"/>
            <w:tcBorders>
              <w:top w:val="nil"/>
              <w:left w:val="nil"/>
              <w:bottom w:val="nil"/>
              <w:right w:val="single" w:sz="4" w:space="0" w:color="auto"/>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xml:space="preserve">               15.050.915,00 </w:t>
            </w:r>
          </w:p>
        </w:tc>
      </w:tr>
      <w:tr w:rsidR="00076645" w:rsidRPr="00076645" w:rsidTr="00076645">
        <w:trPr>
          <w:trHeight w:val="300"/>
        </w:trPr>
        <w:tc>
          <w:tcPr>
            <w:tcW w:w="2490" w:type="dxa"/>
            <w:tcBorders>
              <w:top w:val="nil"/>
              <w:left w:val="single" w:sz="4" w:space="0" w:color="auto"/>
              <w:bottom w:val="nil"/>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Utile esercizio 2015</w:t>
            </w:r>
          </w:p>
        </w:tc>
        <w:tc>
          <w:tcPr>
            <w:tcW w:w="2550" w:type="dxa"/>
            <w:tcBorders>
              <w:top w:val="nil"/>
              <w:left w:val="nil"/>
              <w:bottom w:val="nil"/>
              <w:right w:val="nil"/>
            </w:tcBorders>
            <w:shd w:val="clear" w:color="auto" w:fill="auto"/>
            <w:noWrap/>
            <w:vAlign w:val="bottom"/>
            <w:hideMark/>
          </w:tcPr>
          <w:p w:rsidR="00076645" w:rsidRPr="00076645" w:rsidRDefault="00076645" w:rsidP="00076645">
            <w:pPr>
              <w:rPr>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xml:space="preserve">                 3.602.578,00 </w:t>
            </w:r>
          </w:p>
        </w:tc>
      </w:tr>
      <w:tr w:rsidR="00076645" w:rsidRPr="00076645" w:rsidTr="00076645">
        <w:trPr>
          <w:trHeight w:val="300"/>
        </w:trPr>
        <w:tc>
          <w:tcPr>
            <w:tcW w:w="2490" w:type="dxa"/>
            <w:tcBorders>
              <w:top w:val="nil"/>
              <w:left w:val="single" w:sz="4" w:space="0" w:color="auto"/>
              <w:bottom w:val="nil"/>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c>
          <w:tcPr>
            <w:tcW w:w="2550" w:type="dxa"/>
            <w:tcBorders>
              <w:top w:val="nil"/>
              <w:left w:val="nil"/>
              <w:bottom w:val="nil"/>
              <w:right w:val="nil"/>
            </w:tcBorders>
            <w:shd w:val="clear" w:color="auto" w:fill="auto"/>
            <w:noWrap/>
            <w:vAlign w:val="bottom"/>
            <w:hideMark/>
          </w:tcPr>
          <w:p w:rsidR="00076645" w:rsidRPr="00076645" w:rsidRDefault="00076645" w:rsidP="00076645">
            <w:pPr>
              <w:rPr>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r>
      <w:tr w:rsidR="00076645" w:rsidRPr="00076645" w:rsidTr="00076645">
        <w:trPr>
          <w:trHeight w:val="300"/>
        </w:trPr>
        <w:tc>
          <w:tcPr>
            <w:tcW w:w="5040" w:type="dxa"/>
            <w:gridSpan w:val="2"/>
            <w:tcBorders>
              <w:top w:val="nil"/>
              <w:left w:val="single" w:sz="4" w:space="0" w:color="auto"/>
              <w:bottom w:val="nil"/>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Fondo rischi per svalutazione crediti</w:t>
            </w:r>
          </w:p>
        </w:tc>
        <w:tc>
          <w:tcPr>
            <w:tcW w:w="1840" w:type="dxa"/>
            <w:tcBorders>
              <w:top w:val="nil"/>
              <w:left w:val="nil"/>
              <w:bottom w:val="nil"/>
              <w:right w:val="single" w:sz="4" w:space="0" w:color="auto"/>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xml:space="preserve">                 6.898.719,00 </w:t>
            </w:r>
          </w:p>
        </w:tc>
      </w:tr>
      <w:tr w:rsidR="00076645" w:rsidRPr="00076645" w:rsidTr="00076645">
        <w:trPr>
          <w:trHeight w:val="300"/>
        </w:trPr>
        <w:tc>
          <w:tcPr>
            <w:tcW w:w="2490" w:type="dxa"/>
            <w:tcBorders>
              <w:top w:val="nil"/>
              <w:left w:val="single" w:sz="4" w:space="0" w:color="auto"/>
              <w:bottom w:val="nil"/>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c>
          <w:tcPr>
            <w:tcW w:w="2550" w:type="dxa"/>
            <w:tcBorders>
              <w:top w:val="nil"/>
              <w:left w:val="nil"/>
              <w:bottom w:val="nil"/>
              <w:right w:val="nil"/>
            </w:tcBorders>
            <w:shd w:val="clear" w:color="auto" w:fill="auto"/>
            <w:noWrap/>
            <w:vAlign w:val="bottom"/>
            <w:hideMark/>
          </w:tcPr>
          <w:p w:rsidR="00076645" w:rsidRPr="00076645" w:rsidRDefault="00076645" w:rsidP="00076645">
            <w:pPr>
              <w:rPr>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r>
      <w:tr w:rsidR="00076645" w:rsidRPr="00076645" w:rsidTr="00076645">
        <w:trPr>
          <w:trHeight w:val="300"/>
        </w:trPr>
        <w:tc>
          <w:tcPr>
            <w:tcW w:w="5040" w:type="dxa"/>
            <w:gridSpan w:val="2"/>
            <w:tcBorders>
              <w:top w:val="nil"/>
              <w:left w:val="single" w:sz="4" w:space="0" w:color="auto"/>
              <w:bottom w:val="nil"/>
              <w:right w:val="nil"/>
            </w:tcBorders>
            <w:shd w:val="clear" w:color="auto" w:fill="auto"/>
            <w:noWrap/>
            <w:vAlign w:val="bottom"/>
            <w:hideMark/>
          </w:tcPr>
          <w:p w:rsidR="00076645" w:rsidRPr="00076645" w:rsidRDefault="00076645" w:rsidP="00076645">
            <w:pPr>
              <w:rPr>
                <w:b/>
                <w:bCs/>
                <w:color w:val="000000"/>
                <w:sz w:val="18"/>
                <w:szCs w:val="18"/>
              </w:rPr>
            </w:pPr>
            <w:r w:rsidRPr="00076645">
              <w:rPr>
                <w:b/>
                <w:bCs/>
                <w:color w:val="000000"/>
                <w:sz w:val="18"/>
                <w:szCs w:val="18"/>
              </w:rPr>
              <w:t>SITUAZIONE CREDITI DA STRALCIARE</w:t>
            </w:r>
          </w:p>
        </w:tc>
        <w:tc>
          <w:tcPr>
            <w:tcW w:w="1840" w:type="dxa"/>
            <w:tcBorders>
              <w:top w:val="nil"/>
              <w:left w:val="nil"/>
              <w:bottom w:val="nil"/>
              <w:right w:val="single" w:sz="4" w:space="0" w:color="auto"/>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r>
      <w:tr w:rsidR="00076645" w:rsidRPr="00076645" w:rsidTr="00076645">
        <w:trPr>
          <w:trHeight w:val="300"/>
        </w:trPr>
        <w:tc>
          <w:tcPr>
            <w:tcW w:w="2490" w:type="dxa"/>
            <w:tcBorders>
              <w:top w:val="nil"/>
              <w:left w:val="single" w:sz="4" w:space="0" w:color="auto"/>
              <w:bottom w:val="nil"/>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c>
          <w:tcPr>
            <w:tcW w:w="2550" w:type="dxa"/>
            <w:tcBorders>
              <w:top w:val="nil"/>
              <w:left w:val="nil"/>
              <w:bottom w:val="nil"/>
              <w:right w:val="nil"/>
            </w:tcBorders>
            <w:shd w:val="clear" w:color="auto" w:fill="auto"/>
            <w:noWrap/>
            <w:vAlign w:val="bottom"/>
            <w:hideMark/>
          </w:tcPr>
          <w:p w:rsidR="00076645" w:rsidRPr="00076645" w:rsidRDefault="00076645" w:rsidP="00076645">
            <w:pPr>
              <w:rPr>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r>
      <w:tr w:rsidR="00076645" w:rsidRPr="00076645" w:rsidTr="00076645">
        <w:trPr>
          <w:trHeight w:val="300"/>
        </w:trPr>
        <w:tc>
          <w:tcPr>
            <w:tcW w:w="2490" w:type="dxa"/>
            <w:tcBorders>
              <w:top w:val="nil"/>
              <w:left w:val="single" w:sz="4" w:space="0" w:color="auto"/>
              <w:bottom w:val="nil"/>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Totale da stralciare</w:t>
            </w:r>
          </w:p>
        </w:tc>
        <w:tc>
          <w:tcPr>
            <w:tcW w:w="2550" w:type="dxa"/>
            <w:tcBorders>
              <w:top w:val="nil"/>
              <w:left w:val="nil"/>
              <w:bottom w:val="nil"/>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xml:space="preserve">                            11.520.495,00 </w:t>
            </w:r>
          </w:p>
        </w:tc>
        <w:tc>
          <w:tcPr>
            <w:tcW w:w="1840" w:type="dxa"/>
            <w:tcBorders>
              <w:top w:val="nil"/>
              <w:left w:val="nil"/>
              <w:bottom w:val="nil"/>
              <w:right w:val="single" w:sz="4" w:space="0" w:color="auto"/>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r>
      <w:tr w:rsidR="00076645" w:rsidRPr="00076645" w:rsidTr="00076645">
        <w:trPr>
          <w:trHeight w:val="300"/>
        </w:trPr>
        <w:tc>
          <w:tcPr>
            <w:tcW w:w="2490" w:type="dxa"/>
            <w:tcBorders>
              <w:top w:val="nil"/>
              <w:left w:val="single" w:sz="4" w:space="0" w:color="auto"/>
              <w:bottom w:val="nil"/>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lastRenderedPageBreak/>
              <w:t>Utilizzo fondo rischi</w:t>
            </w:r>
          </w:p>
        </w:tc>
        <w:tc>
          <w:tcPr>
            <w:tcW w:w="2550" w:type="dxa"/>
            <w:tcBorders>
              <w:top w:val="nil"/>
              <w:left w:val="nil"/>
              <w:bottom w:val="nil"/>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xml:space="preserve">                              6.898.719,00 </w:t>
            </w:r>
          </w:p>
        </w:tc>
        <w:tc>
          <w:tcPr>
            <w:tcW w:w="1840" w:type="dxa"/>
            <w:tcBorders>
              <w:top w:val="nil"/>
              <w:left w:val="nil"/>
              <w:bottom w:val="nil"/>
              <w:right w:val="single" w:sz="4" w:space="0" w:color="auto"/>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r>
      <w:tr w:rsidR="00076645" w:rsidRPr="00076645" w:rsidTr="00076645">
        <w:trPr>
          <w:trHeight w:val="300"/>
        </w:trPr>
        <w:tc>
          <w:tcPr>
            <w:tcW w:w="5040" w:type="dxa"/>
            <w:gridSpan w:val="2"/>
            <w:tcBorders>
              <w:top w:val="nil"/>
              <w:left w:val="single" w:sz="4" w:space="0" w:color="auto"/>
              <w:bottom w:val="nil"/>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Utilizzo riserve vincolate per progetti</w:t>
            </w:r>
          </w:p>
        </w:tc>
        <w:tc>
          <w:tcPr>
            <w:tcW w:w="1840" w:type="dxa"/>
            <w:tcBorders>
              <w:top w:val="nil"/>
              <w:left w:val="nil"/>
              <w:bottom w:val="nil"/>
              <w:right w:val="single" w:sz="4" w:space="0" w:color="auto"/>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r>
      <w:tr w:rsidR="00076645" w:rsidRPr="00076645" w:rsidTr="00076645">
        <w:trPr>
          <w:trHeight w:val="300"/>
        </w:trPr>
        <w:tc>
          <w:tcPr>
            <w:tcW w:w="2490" w:type="dxa"/>
            <w:tcBorders>
              <w:top w:val="nil"/>
              <w:left w:val="single" w:sz="4" w:space="0" w:color="auto"/>
              <w:bottom w:val="nil"/>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Utilizzo riserve libere da COFI</w:t>
            </w:r>
          </w:p>
        </w:tc>
        <w:tc>
          <w:tcPr>
            <w:tcW w:w="2550" w:type="dxa"/>
            <w:tcBorders>
              <w:top w:val="nil"/>
              <w:left w:val="nil"/>
              <w:bottom w:val="nil"/>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xml:space="preserve">                              4.621.776,00 </w:t>
            </w:r>
          </w:p>
        </w:tc>
        <w:tc>
          <w:tcPr>
            <w:tcW w:w="1840" w:type="dxa"/>
            <w:tcBorders>
              <w:top w:val="nil"/>
              <w:left w:val="nil"/>
              <w:bottom w:val="nil"/>
              <w:right w:val="single" w:sz="4" w:space="0" w:color="auto"/>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r>
      <w:tr w:rsidR="00076645" w:rsidRPr="00076645" w:rsidTr="00076645">
        <w:trPr>
          <w:trHeight w:val="300"/>
        </w:trPr>
        <w:tc>
          <w:tcPr>
            <w:tcW w:w="2490" w:type="dxa"/>
            <w:tcBorders>
              <w:top w:val="nil"/>
              <w:left w:val="single" w:sz="4" w:space="0" w:color="auto"/>
              <w:bottom w:val="nil"/>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c>
          <w:tcPr>
            <w:tcW w:w="2550" w:type="dxa"/>
            <w:tcBorders>
              <w:top w:val="nil"/>
              <w:left w:val="nil"/>
              <w:bottom w:val="nil"/>
              <w:right w:val="nil"/>
            </w:tcBorders>
            <w:shd w:val="clear" w:color="auto" w:fill="auto"/>
            <w:noWrap/>
            <w:vAlign w:val="bottom"/>
            <w:hideMark/>
          </w:tcPr>
          <w:p w:rsidR="00076645" w:rsidRPr="00076645" w:rsidRDefault="00076645" w:rsidP="00076645">
            <w:pPr>
              <w:rPr>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r>
      <w:tr w:rsidR="00076645" w:rsidRPr="00076645" w:rsidTr="00076645">
        <w:trPr>
          <w:trHeight w:val="300"/>
        </w:trPr>
        <w:tc>
          <w:tcPr>
            <w:tcW w:w="5040" w:type="dxa"/>
            <w:gridSpan w:val="2"/>
            <w:tcBorders>
              <w:top w:val="nil"/>
              <w:left w:val="single" w:sz="4" w:space="0" w:color="auto"/>
              <w:bottom w:val="nil"/>
              <w:right w:val="nil"/>
            </w:tcBorders>
            <w:shd w:val="clear" w:color="auto" w:fill="auto"/>
            <w:noWrap/>
            <w:vAlign w:val="bottom"/>
            <w:hideMark/>
          </w:tcPr>
          <w:p w:rsidR="00076645" w:rsidRPr="00076645" w:rsidRDefault="00076645" w:rsidP="00076645">
            <w:pPr>
              <w:rPr>
                <w:b/>
                <w:bCs/>
                <w:color w:val="000000"/>
                <w:sz w:val="18"/>
                <w:szCs w:val="18"/>
              </w:rPr>
            </w:pPr>
            <w:r w:rsidRPr="00076645">
              <w:rPr>
                <w:b/>
                <w:bCs/>
                <w:color w:val="000000"/>
                <w:sz w:val="18"/>
                <w:szCs w:val="18"/>
              </w:rPr>
              <w:t xml:space="preserve">RESIDUO RISERVE DA COFI PER COPERTURA BUDGET </w:t>
            </w:r>
          </w:p>
        </w:tc>
        <w:tc>
          <w:tcPr>
            <w:tcW w:w="1840" w:type="dxa"/>
            <w:tcBorders>
              <w:top w:val="nil"/>
              <w:left w:val="nil"/>
              <w:bottom w:val="nil"/>
              <w:right w:val="single" w:sz="4" w:space="0" w:color="auto"/>
            </w:tcBorders>
            <w:shd w:val="clear" w:color="auto" w:fill="auto"/>
            <w:noWrap/>
            <w:vAlign w:val="bottom"/>
            <w:hideMark/>
          </w:tcPr>
          <w:p w:rsidR="00076645" w:rsidRPr="00076645" w:rsidRDefault="00076645" w:rsidP="00076645">
            <w:pPr>
              <w:rPr>
                <w:b/>
                <w:bCs/>
                <w:color w:val="000000"/>
                <w:sz w:val="18"/>
                <w:szCs w:val="18"/>
              </w:rPr>
            </w:pPr>
            <w:r w:rsidRPr="00076645">
              <w:rPr>
                <w:b/>
                <w:bCs/>
                <w:color w:val="000000"/>
                <w:sz w:val="18"/>
                <w:szCs w:val="18"/>
              </w:rPr>
              <w:t xml:space="preserve">               10.429.139,00 </w:t>
            </w:r>
          </w:p>
        </w:tc>
      </w:tr>
      <w:tr w:rsidR="00076645" w:rsidRPr="00076645" w:rsidTr="00076645">
        <w:trPr>
          <w:trHeight w:val="300"/>
        </w:trPr>
        <w:tc>
          <w:tcPr>
            <w:tcW w:w="2490" w:type="dxa"/>
            <w:tcBorders>
              <w:top w:val="nil"/>
              <w:left w:val="single" w:sz="4" w:space="0" w:color="auto"/>
              <w:bottom w:val="nil"/>
              <w:right w:val="nil"/>
            </w:tcBorders>
            <w:shd w:val="clear" w:color="auto" w:fill="auto"/>
            <w:noWrap/>
            <w:vAlign w:val="bottom"/>
            <w:hideMark/>
          </w:tcPr>
          <w:p w:rsidR="00076645" w:rsidRPr="00076645" w:rsidRDefault="00076645" w:rsidP="00076645">
            <w:pPr>
              <w:rPr>
                <w:b/>
                <w:bCs/>
                <w:color w:val="000000"/>
                <w:sz w:val="18"/>
                <w:szCs w:val="18"/>
              </w:rPr>
            </w:pPr>
            <w:r w:rsidRPr="00076645">
              <w:rPr>
                <w:b/>
                <w:bCs/>
                <w:color w:val="000000"/>
                <w:sz w:val="18"/>
                <w:szCs w:val="18"/>
              </w:rPr>
              <w:t> </w:t>
            </w:r>
          </w:p>
        </w:tc>
        <w:tc>
          <w:tcPr>
            <w:tcW w:w="2550" w:type="dxa"/>
            <w:tcBorders>
              <w:top w:val="nil"/>
              <w:left w:val="nil"/>
              <w:bottom w:val="nil"/>
              <w:right w:val="nil"/>
            </w:tcBorders>
            <w:shd w:val="clear" w:color="auto" w:fill="auto"/>
            <w:noWrap/>
            <w:vAlign w:val="bottom"/>
            <w:hideMark/>
          </w:tcPr>
          <w:p w:rsidR="00076645" w:rsidRPr="00076645" w:rsidRDefault="00076645" w:rsidP="00076645">
            <w:pPr>
              <w:rPr>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076645" w:rsidRPr="00076645" w:rsidRDefault="00076645" w:rsidP="00076645">
            <w:pPr>
              <w:rPr>
                <w:b/>
                <w:bCs/>
                <w:color w:val="000000"/>
                <w:sz w:val="18"/>
                <w:szCs w:val="18"/>
              </w:rPr>
            </w:pPr>
            <w:r w:rsidRPr="00076645">
              <w:rPr>
                <w:b/>
                <w:bCs/>
                <w:color w:val="000000"/>
                <w:sz w:val="18"/>
                <w:szCs w:val="18"/>
              </w:rPr>
              <w:t> </w:t>
            </w:r>
          </w:p>
        </w:tc>
      </w:tr>
      <w:tr w:rsidR="00076645" w:rsidRPr="00076645" w:rsidTr="00076645">
        <w:trPr>
          <w:trHeight w:val="300"/>
        </w:trPr>
        <w:tc>
          <w:tcPr>
            <w:tcW w:w="5040" w:type="dxa"/>
            <w:gridSpan w:val="2"/>
            <w:tcBorders>
              <w:top w:val="nil"/>
              <w:left w:val="single" w:sz="4" w:space="0" w:color="auto"/>
              <w:bottom w:val="nil"/>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Riserve utilizzate per copertura budget investimenti 2017</w:t>
            </w:r>
          </w:p>
        </w:tc>
        <w:tc>
          <w:tcPr>
            <w:tcW w:w="1840" w:type="dxa"/>
            <w:tcBorders>
              <w:top w:val="nil"/>
              <w:left w:val="nil"/>
              <w:bottom w:val="nil"/>
              <w:right w:val="single" w:sz="4" w:space="0" w:color="auto"/>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xml:space="preserve">                 6.246.770,61 </w:t>
            </w:r>
          </w:p>
        </w:tc>
      </w:tr>
      <w:tr w:rsidR="00076645" w:rsidRPr="00076645" w:rsidTr="00076645">
        <w:trPr>
          <w:trHeight w:val="300"/>
        </w:trPr>
        <w:tc>
          <w:tcPr>
            <w:tcW w:w="2490" w:type="dxa"/>
            <w:tcBorders>
              <w:top w:val="nil"/>
              <w:left w:val="single" w:sz="4" w:space="0" w:color="auto"/>
              <w:bottom w:val="nil"/>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c>
          <w:tcPr>
            <w:tcW w:w="2550" w:type="dxa"/>
            <w:tcBorders>
              <w:top w:val="nil"/>
              <w:left w:val="nil"/>
              <w:bottom w:val="nil"/>
              <w:right w:val="nil"/>
            </w:tcBorders>
            <w:shd w:val="clear" w:color="auto" w:fill="auto"/>
            <w:noWrap/>
            <w:vAlign w:val="bottom"/>
            <w:hideMark/>
          </w:tcPr>
          <w:p w:rsidR="00076645" w:rsidRPr="00076645" w:rsidRDefault="00076645" w:rsidP="00076645">
            <w:pPr>
              <w:rPr>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r>
      <w:tr w:rsidR="00076645" w:rsidRPr="00076645" w:rsidTr="00076645">
        <w:trPr>
          <w:trHeight w:val="300"/>
        </w:trPr>
        <w:tc>
          <w:tcPr>
            <w:tcW w:w="5040" w:type="dxa"/>
            <w:gridSpan w:val="2"/>
            <w:tcBorders>
              <w:top w:val="nil"/>
              <w:left w:val="single" w:sz="4" w:space="0" w:color="auto"/>
              <w:bottom w:val="nil"/>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Riserve utilizzate per copertura budget economico 2017</w:t>
            </w:r>
          </w:p>
        </w:tc>
        <w:tc>
          <w:tcPr>
            <w:tcW w:w="1840" w:type="dxa"/>
            <w:tcBorders>
              <w:top w:val="nil"/>
              <w:left w:val="nil"/>
              <w:bottom w:val="nil"/>
              <w:right w:val="single" w:sz="4" w:space="0" w:color="auto"/>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xml:space="preserve">                 2.936.916,48 </w:t>
            </w:r>
          </w:p>
        </w:tc>
      </w:tr>
      <w:tr w:rsidR="00076645" w:rsidRPr="00076645" w:rsidTr="00076645">
        <w:trPr>
          <w:trHeight w:val="300"/>
        </w:trPr>
        <w:tc>
          <w:tcPr>
            <w:tcW w:w="2490" w:type="dxa"/>
            <w:tcBorders>
              <w:top w:val="nil"/>
              <w:left w:val="single" w:sz="4" w:space="0" w:color="auto"/>
              <w:bottom w:val="nil"/>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c>
          <w:tcPr>
            <w:tcW w:w="2550" w:type="dxa"/>
            <w:tcBorders>
              <w:top w:val="nil"/>
              <w:left w:val="nil"/>
              <w:bottom w:val="nil"/>
              <w:right w:val="nil"/>
            </w:tcBorders>
            <w:shd w:val="clear" w:color="auto" w:fill="auto"/>
            <w:noWrap/>
            <w:vAlign w:val="bottom"/>
            <w:hideMark/>
          </w:tcPr>
          <w:p w:rsidR="00076645" w:rsidRPr="00076645" w:rsidRDefault="00076645" w:rsidP="00076645">
            <w:pPr>
              <w:rPr>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r>
      <w:tr w:rsidR="00076645" w:rsidRPr="00076645" w:rsidTr="00076645">
        <w:trPr>
          <w:trHeight w:val="300"/>
        </w:trPr>
        <w:tc>
          <w:tcPr>
            <w:tcW w:w="5040" w:type="dxa"/>
            <w:gridSpan w:val="2"/>
            <w:tcBorders>
              <w:top w:val="nil"/>
              <w:left w:val="single" w:sz="4" w:space="0" w:color="auto"/>
              <w:bottom w:val="nil"/>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Riserve utilizzate per copertura budget economico 2018</w:t>
            </w:r>
          </w:p>
        </w:tc>
        <w:tc>
          <w:tcPr>
            <w:tcW w:w="1840" w:type="dxa"/>
            <w:tcBorders>
              <w:top w:val="nil"/>
              <w:left w:val="nil"/>
              <w:bottom w:val="nil"/>
              <w:right w:val="single" w:sz="4" w:space="0" w:color="auto"/>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xml:space="preserve">                 1.245.451,91 </w:t>
            </w:r>
          </w:p>
        </w:tc>
      </w:tr>
      <w:tr w:rsidR="00076645" w:rsidRPr="00076645" w:rsidTr="00076645">
        <w:trPr>
          <w:trHeight w:val="300"/>
        </w:trPr>
        <w:tc>
          <w:tcPr>
            <w:tcW w:w="2490" w:type="dxa"/>
            <w:tcBorders>
              <w:top w:val="nil"/>
              <w:left w:val="single" w:sz="4" w:space="0" w:color="auto"/>
              <w:bottom w:val="nil"/>
              <w:right w:val="nil"/>
            </w:tcBorders>
            <w:shd w:val="clear" w:color="auto" w:fill="auto"/>
            <w:noWrap/>
            <w:vAlign w:val="bottom"/>
            <w:hideMark/>
          </w:tcPr>
          <w:p w:rsidR="00076645" w:rsidRPr="00076645" w:rsidRDefault="00076645" w:rsidP="00076645">
            <w:pPr>
              <w:rPr>
                <w:b/>
                <w:bCs/>
                <w:color w:val="000000"/>
                <w:sz w:val="18"/>
                <w:szCs w:val="18"/>
              </w:rPr>
            </w:pPr>
            <w:r w:rsidRPr="00076645">
              <w:rPr>
                <w:b/>
                <w:bCs/>
                <w:color w:val="000000"/>
                <w:sz w:val="18"/>
                <w:szCs w:val="18"/>
              </w:rPr>
              <w:t> </w:t>
            </w:r>
          </w:p>
        </w:tc>
        <w:tc>
          <w:tcPr>
            <w:tcW w:w="2550" w:type="dxa"/>
            <w:tcBorders>
              <w:top w:val="nil"/>
              <w:left w:val="nil"/>
              <w:bottom w:val="nil"/>
              <w:right w:val="nil"/>
            </w:tcBorders>
            <w:shd w:val="clear" w:color="auto" w:fill="auto"/>
            <w:noWrap/>
            <w:vAlign w:val="bottom"/>
            <w:hideMark/>
          </w:tcPr>
          <w:p w:rsidR="00076645" w:rsidRPr="00076645" w:rsidRDefault="00076645" w:rsidP="00076645">
            <w:pPr>
              <w:rPr>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076645" w:rsidRPr="00076645" w:rsidRDefault="00076645" w:rsidP="00076645">
            <w:pPr>
              <w:rPr>
                <w:b/>
                <w:bCs/>
                <w:color w:val="000000"/>
                <w:sz w:val="18"/>
                <w:szCs w:val="18"/>
              </w:rPr>
            </w:pPr>
            <w:r w:rsidRPr="00076645">
              <w:rPr>
                <w:b/>
                <w:bCs/>
                <w:color w:val="000000"/>
                <w:sz w:val="18"/>
                <w:szCs w:val="18"/>
              </w:rPr>
              <w:t> </w:t>
            </w:r>
          </w:p>
        </w:tc>
      </w:tr>
      <w:tr w:rsidR="00076645" w:rsidRPr="00076645" w:rsidTr="00076645">
        <w:trPr>
          <w:trHeight w:val="300"/>
        </w:trPr>
        <w:tc>
          <w:tcPr>
            <w:tcW w:w="5040" w:type="dxa"/>
            <w:gridSpan w:val="2"/>
            <w:tcBorders>
              <w:top w:val="nil"/>
              <w:left w:val="single" w:sz="4" w:space="0" w:color="auto"/>
              <w:bottom w:val="nil"/>
              <w:right w:val="nil"/>
            </w:tcBorders>
            <w:shd w:val="clear" w:color="auto" w:fill="auto"/>
            <w:noWrap/>
            <w:vAlign w:val="bottom"/>
            <w:hideMark/>
          </w:tcPr>
          <w:p w:rsidR="00076645" w:rsidRPr="00076645" w:rsidRDefault="00076645" w:rsidP="00076645">
            <w:pPr>
              <w:rPr>
                <w:b/>
                <w:bCs/>
                <w:color w:val="000000"/>
                <w:sz w:val="18"/>
                <w:szCs w:val="18"/>
              </w:rPr>
            </w:pPr>
            <w:r w:rsidRPr="00076645">
              <w:rPr>
                <w:b/>
                <w:bCs/>
                <w:color w:val="000000"/>
                <w:sz w:val="18"/>
                <w:szCs w:val="18"/>
              </w:rPr>
              <w:t xml:space="preserve">RESIDUO RISERVE DA COEP PER COPERTURA BUDGET </w:t>
            </w:r>
          </w:p>
        </w:tc>
        <w:tc>
          <w:tcPr>
            <w:tcW w:w="1840" w:type="dxa"/>
            <w:tcBorders>
              <w:top w:val="nil"/>
              <w:left w:val="nil"/>
              <w:bottom w:val="nil"/>
              <w:right w:val="single" w:sz="4" w:space="0" w:color="auto"/>
            </w:tcBorders>
            <w:shd w:val="clear" w:color="auto" w:fill="auto"/>
            <w:noWrap/>
            <w:vAlign w:val="bottom"/>
            <w:hideMark/>
          </w:tcPr>
          <w:p w:rsidR="00076645" w:rsidRPr="00076645" w:rsidRDefault="00076645" w:rsidP="00076645">
            <w:pPr>
              <w:rPr>
                <w:b/>
                <w:bCs/>
                <w:color w:val="000000"/>
                <w:sz w:val="18"/>
                <w:szCs w:val="18"/>
              </w:rPr>
            </w:pPr>
            <w:r w:rsidRPr="00076645">
              <w:rPr>
                <w:b/>
                <w:bCs/>
                <w:color w:val="000000"/>
                <w:sz w:val="18"/>
                <w:szCs w:val="18"/>
              </w:rPr>
              <w:t xml:space="preserve">                 3.602.578,00 </w:t>
            </w:r>
          </w:p>
        </w:tc>
      </w:tr>
      <w:tr w:rsidR="00076645" w:rsidRPr="00076645" w:rsidTr="00076645">
        <w:trPr>
          <w:trHeight w:val="300"/>
        </w:trPr>
        <w:tc>
          <w:tcPr>
            <w:tcW w:w="2490" w:type="dxa"/>
            <w:tcBorders>
              <w:top w:val="nil"/>
              <w:left w:val="single" w:sz="4" w:space="0" w:color="auto"/>
              <w:bottom w:val="nil"/>
              <w:right w:val="nil"/>
            </w:tcBorders>
            <w:shd w:val="clear" w:color="auto" w:fill="auto"/>
            <w:noWrap/>
            <w:vAlign w:val="bottom"/>
            <w:hideMark/>
          </w:tcPr>
          <w:p w:rsidR="00076645" w:rsidRPr="00076645" w:rsidRDefault="00076645" w:rsidP="00076645">
            <w:pPr>
              <w:rPr>
                <w:b/>
                <w:bCs/>
                <w:color w:val="000000"/>
                <w:sz w:val="18"/>
                <w:szCs w:val="18"/>
              </w:rPr>
            </w:pPr>
            <w:r w:rsidRPr="00076645">
              <w:rPr>
                <w:b/>
                <w:bCs/>
                <w:color w:val="000000"/>
                <w:sz w:val="18"/>
                <w:szCs w:val="18"/>
              </w:rPr>
              <w:t> </w:t>
            </w:r>
          </w:p>
        </w:tc>
        <w:tc>
          <w:tcPr>
            <w:tcW w:w="2550" w:type="dxa"/>
            <w:tcBorders>
              <w:top w:val="nil"/>
              <w:left w:val="nil"/>
              <w:bottom w:val="nil"/>
              <w:right w:val="nil"/>
            </w:tcBorders>
            <w:shd w:val="clear" w:color="auto" w:fill="auto"/>
            <w:noWrap/>
            <w:vAlign w:val="bottom"/>
            <w:hideMark/>
          </w:tcPr>
          <w:p w:rsidR="00076645" w:rsidRPr="00076645" w:rsidRDefault="00076645" w:rsidP="00076645">
            <w:pPr>
              <w:rPr>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076645" w:rsidRPr="00076645" w:rsidRDefault="00076645" w:rsidP="00076645">
            <w:pPr>
              <w:rPr>
                <w:b/>
                <w:bCs/>
                <w:color w:val="000000"/>
                <w:sz w:val="18"/>
                <w:szCs w:val="18"/>
              </w:rPr>
            </w:pPr>
            <w:r w:rsidRPr="00076645">
              <w:rPr>
                <w:b/>
                <w:bCs/>
                <w:color w:val="000000"/>
                <w:sz w:val="18"/>
                <w:szCs w:val="18"/>
              </w:rPr>
              <w:t> </w:t>
            </w:r>
          </w:p>
        </w:tc>
      </w:tr>
      <w:tr w:rsidR="00076645" w:rsidRPr="00076645" w:rsidTr="00076645">
        <w:trPr>
          <w:trHeight w:val="300"/>
        </w:trPr>
        <w:tc>
          <w:tcPr>
            <w:tcW w:w="5040" w:type="dxa"/>
            <w:gridSpan w:val="2"/>
            <w:tcBorders>
              <w:top w:val="nil"/>
              <w:left w:val="single" w:sz="4" w:space="0" w:color="auto"/>
              <w:bottom w:val="nil"/>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Riserve utilizzate per copertura budget investimenti 2018</w:t>
            </w:r>
          </w:p>
        </w:tc>
        <w:tc>
          <w:tcPr>
            <w:tcW w:w="1840" w:type="dxa"/>
            <w:tcBorders>
              <w:top w:val="nil"/>
              <w:left w:val="nil"/>
              <w:bottom w:val="nil"/>
              <w:right w:val="single" w:sz="4" w:space="0" w:color="auto"/>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xml:space="preserve">                 2.647.658,47 </w:t>
            </w:r>
          </w:p>
        </w:tc>
      </w:tr>
      <w:tr w:rsidR="00076645" w:rsidRPr="00076645" w:rsidTr="00076645">
        <w:trPr>
          <w:trHeight w:val="300"/>
        </w:trPr>
        <w:tc>
          <w:tcPr>
            <w:tcW w:w="2490" w:type="dxa"/>
            <w:tcBorders>
              <w:top w:val="nil"/>
              <w:left w:val="single" w:sz="4" w:space="0" w:color="auto"/>
              <w:bottom w:val="nil"/>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c>
          <w:tcPr>
            <w:tcW w:w="2550" w:type="dxa"/>
            <w:tcBorders>
              <w:top w:val="nil"/>
              <w:left w:val="nil"/>
              <w:bottom w:val="nil"/>
              <w:right w:val="nil"/>
            </w:tcBorders>
            <w:shd w:val="clear" w:color="auto" w:fill="auto"/>
            <w:noWrap/>
            <w:vAlign w:val="bottom"/>
            <w:hideMark/>
          </w:tcPr>
          <w:p w:rsidR="00076645" w:rsidRPr="00076645" w:rsidRDefault="00076645" w:rsidP="00076645">
            <w:pPr>
              <w:rPr>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r>
      <w:tr w:rsidR="00076645" w:rsidRPr="00076645" w:rsidTr="00076645">
        <w:trPr>
          <w:trHeight w:val="300"/>
        </w:trPr>
        <w:tc>
          <w:tcPr>
            <w:tcW w:w="2490" w:type="dxa"/>
            <w:tcBorders>
              <w:top w:val="nil"/>
              <w:left w:val="single" w:sz="4" w:space="0" w:color="auto"/>
              <w:bottom w:val="single" w:sz="4" w:space="0" w:color="auto"/>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DIFFERENZA</w:t>
            </w:r>
          </w:p>
        </w:tc>
        <w:tc>
          <w:tcPr>
            <w:tcW w:w="2550" w:type="dxa"/>
            <w:tcBorders>
              <w:top w:val="nil"/>
              <w:left w:val="nil"/>
              <w:bottom w:val="single" w:sz="4" w:space="0" w:color="auto"/>
              <w:right w:val="nil"/>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w:t>
            </w:r>
          </w:p>
        </w:tc>
        <w:tc>
          <w:tcPr>
            <w:tcW w:w="1840" w:type="dxa"/>
            <w:tcBorders>
              <w:top w:val="nil"/>
              <w:left w:val="nil"/>
              <w:bottom w:val="single" w:sz="4" w:space="0" w:color="auto"/>
              <w:right w:val="single" w:sz="4" w:space="0" w:color="auto"/>
            </w:tcBorders>
            <w:shd w:val="clear" w:color="auto" w:fill="auto"/>
            <w:noWrap/>
            <w:vAlign w:val="bottom"/>
            <w:hideMark/>
          </w:tcPr>
          <w:p w:rsidR="00076645" w:rsidRPr="00076645" w:rsidRDefault="00076645" w:rsidP="00076645">
            <w:pPr>
              <w:rPr>
                <w:color w:val="000000"/>
                <w:sz w:val="18"/>
                <w:szCs w:val="18"/>
              </w:rPr>
            </w:pPr>
            <w:r w:rsidRPr="00076645">
              <w:rPr>
                <w:color w:val="000000"/>
                <w:sz w:val="18"/>
                <w:szCs w:val="18"/>
              </w:rPr>
              <w:t xml:space="preserve">                    954.919,53 </w:t>
            </w:r>
          </w:p>
        </w:tc>
      </w:tr>
    </w:tbl>
    <w:p w:rsidR="00076645" w:rsidRDefault="00076645" w:rsidP="002702B2">
      <w:pPr>
        <w:tabs>
          <w:tab w:val="left" w:pos="0"/>
        </w:tabs>
        <w:spacing w:line="360" w:lineRule="auto"/>
        <w:ind w:left="1065"/>
        <w:rPr>
          <w:i/>
        </w:rPr>
      </w:pPr>
    </w:p>
    <w:p w:rsidR="002702B2" w:rsidRDefault="002702B2" w:rsidP="00BB282E">
      <w:pPr>
        <w:jc w:val="both"/>
        <w:rPr>
          <w:sz w:val="24"/>
          <w:szCs w:val="24"/>
        </w:rPr>
      </w:pPr>
    </w:p>
    <w:p w:rsidR="002702B2" w:rsidRDefault="002702B2" w:rsidP="00BB282E">
      <w:pPr>
        <w:jc w:val="both"/>
        <w:rPr>
          <w:sz w:val="24"/>
          <w:szCs w:val="24"/>
        </w:rPr>
      </w:pPr>
    </w:p>
    <w:p w:rsidR="002702B2" w:rsidRPr="002702B2" w:rsidRDefault="002702B2" w:rsidP="00BB282E">
      <w:pPr>
        <w:jc w:val="both"/>
        <w:rPr>
          <w:sz w:val="24"/>
          <w:szCs w:val="24"/>
        </w:rPr>
      </w:pPr>
    </w:p>
    <w:p w:rsidR="0038061B" w:rsidRPr="00E14E65" w:rsidRDefault="002C03AE" w:rsidP="00E14E65">
      <w:pPr>
        <w:pStyle w:val="Titolo1"/>
        <w:rPr>
          <w:rFonts w:ascii="Times New Roman" w:hAnsi="Times New Roman"/>
          <w:b/>
          <w:i w:val="0"/>
          <w:caps/>
          <w:color w:val="548DD4" w:themeColor="text2" w:themeTint="99"/>
          <w:sz w:val="24"/>
          <w:szCs w:val="24"/>
        </w:rPr>
      </w:pPr>
      <w:bookmarkStart w:id="26" w:name="_Toc469659534"/>
      <w:r w:rsidRPr="00E14E65">
        <w:rPr>
          <w:rFonts w:ascii="Times New Roman" w:hAnsi="Times New Roman"/>
          <w:b/>
          <w:i w:val="0"/>
          <w:caps/>
          <w:sz w:val="24"/>
          <w:szCs w:val="24"/>
        </w:rPr>
        <w:t>4</w:t>
      </w:r>
      <w:r w:rsidR="001108F0">
        <w:rPr>
          <w:rFonts w:ascii="Times New Roman" w:hAnsi="Times New Roman"/>
          <w:b/>
          <w:i w:val="0"/>
          <w:caps/>
          <w:sz w:val="24"/>
          <w:szCs w:val="24"/>
        </w:rPr>
        <w:t>.</w:t>
      </w:r>
      <w:r w:rsidR="0038061B" w:rsidRPr="00E14E65">
        <w:rPr>
          <w:rFonts w:ascii="Times New Roman" w:hAnsi="Times New Roman"/>
          <w:b/>
          <w:i w:val="0"/>
          <w:caps/>
          <w:sz w:val="24"/>
          <w:szCs w:val="24"/>
        </w:rPr>
        <w:t>Partecipazioni societarie</w:t>
      </w:r>
      <w:bookmarkEnd w:id="26"/>
    </w:p>
    <w:p w:rsidR="00E47B44" w:rsidRDefault="00E47B44" w:rsidP="00BB282E">
      <w:pPr>
        <w:jc w:val="both"/>
        <w:rPr>
          <w:b/>
          <w:color w:val="548DD4" w:themeColor="text2" w:themeTint="99"/>
          <w:sz w:val="24"/>
          <w:szCs w:val="24"/>
        </w:rPr>
      </w:pPr>
    </w:p>
    <w:p w:rsidR="0038061B" w:rsidRPr="0038061B" w:rsidRDefault="0038061B" w:rsidP="0038061B">
      <w:pPr>
        <w:ind w:firstLine="720"/>
        <w:jc w:val="both"/>
        <w:rPr>
          <w:sz w:val="24"/>
          <w:szCs w:val="24"/>
        </w:rPr>
      </w:pPr>
      <w:r w:rsidRPr="0038061B">
        <w:rPr>
          <w:sz w:val="24"/>
          <w:szCs w:val="24"/>
        </w:rPr>
        <w:t>Per quanto concerne l’attività dell’Ateneo riconducibile alle partecipazioni societarie, è stato previsto l’importo di € 50.000</w:t>
      </w:r>
      <w:r w:rsidR="00813200">
        <w:rPr>
          <w:sz w:val="24"/>
          <w:szCs w:val="24"/>
        </w:rPr>
        <w:t>,</w:t>
      </w:r>
      <w:r w:rsidR="003E6052">
        <w:rPr>
          <w:sz w:val="24"/>
          <w:szCs w:val="24"/>
        </w:rPr>
        <w:t>00 quale a</w:t>
      </w:r>
      <w:r w:rsidRPr="0038061B">
        <w:rPr>
          <w:sz w:val="24"/>
          <w:szCs w:val="24"/>
        </w:rPr>
        <w:t xml:space="preserve">ccantonamento </w:t>
      </w:r>
      <w:r w:rsidR="00813200">
        <w:rPr>
          <w:sz w:val="24"/>
          <w:szCs w:val="24"/>
        </w:rPr>
        <w:t xml:space="preserve">nel </w:t>
      </w:r>
      <w:r w:rsidRPr="0038061B">
        <w:rPr>
          <w:sz w:val="24"/>
          <w:szCs w:val="24"/>
        </w:rPr>
        <w:t>fondo di riserva (CA.04.46.02.01).</w:t>
      </w:r>
    </w:p>
    <w:p w:rsidR="0038061B" w:rsidRPr="0038061B" w:rsidRDefault="0038061B" w:rsidP="0038061B">
      <w:pPr>
        <w:ind w:firstLine="720"/>
        <w:jc w:val="both"/>
        <w:rPr>
          <w:sz w:val="24"/>
          <w:szCs w:val="24"/>
        </w:rPr>
      </w:pPr>
      <w:r w:rsidRPr="0038061B">
        <w:rPr>
          <w:sz w:val="24"/>
          <w:szCs w:val="24"/>
        </w:rPr>
        <w:t xml:space="preserve">Infatti, il Ministero dell’Economia e delle Finanze, nelle rilevazioni periodiche all’interno della banca dati CONSOC, inerenti le partecipazioni societarie, richiede espressamente che si preveda tale accantonamento in budget, per i casi in cui enti e società partecipate abbiano registrato risultati o saldi finanziari negativi negli esercizi precedenti </w:t>
      </w:r>
      <w:r w:rsidR="003E6052">
        <w:rPr>
          <w:sz w:val="24"/>
          <w:szCs w:val="24"/>
        </w:rPr>
        <w:t xml:space="preserve">(L. </w:t>
      </w:r>
      <w:r w:rsidRPr="0038061B">
        <w:rPr>
          <w:sz w:val="24"/>
          <w:szCs w:val="24"/>
        </w:rPr>
        <w:t>n. 147/2013</w:t>
      </w:r>
      <w:r w:rsidR="003E6052">
        <w:rPr>
          <w:sz w:val="24"/>
          <w:szCs w:val="24"/>
        </w:rPr>
        <w:t>,</w:t>
      </w:r>
      <w:r w:rsidR="003E6052" w:rsidRPr="003E6052">
        <w:rPr>
          <w:sz w:val="24"/>
          <w:szCs w:val="24"/>
        </w:rPr>
        <w:t xml:space="preserve"> </w:t>
      </w:r>
      <w:r w:rsidR="003E6052">
        <w:rPr>
          <w:sz w:val="24"/>
          <w:szCs w:val="24"/>
        </w:rPr>
        <w:t xml:space="preserve">art. 1, comma 552 </w:t>
      </w:r>
      <w:r w:rsidRPr="0038061B">
        <w:rPr>
          <w:sz w:val="24"/>
          <w:szCs w:val="24"/>
        </w:rPr>
        <w:t>).</w:t>
      </w:r>
    </w:p>
    <w:p w:rsidR="0038061B" w:rsidRPr="00813200" w:rsidRDefault="0038061B" w:rsidP="00813200">
      <w:pPr>
        <w:ind w:firstLine="720"/>
        <w:jc w:val="both"/>
        <w:rPr>
          <w:sz w:val="24"/>
          <w:szCs w:val="24"/>
        </w:rPr>
      </w:pPr>
      <w:r w:rsidRPr="00813200">
        <w:rPr>
          <w:sz w:val="24"/>
          <w:szCs w:val="24"/>
        </w:rPr>
        <w:t xml:space="preserve">Considerato che è ancora </w:t>
      </w:r>
      <w:r w:rsidR="00813200" w:rsidRPr="00813200">
        <w:rPr>
          <w:sz w:val="24"/>
          <w:szCs w:val="24"/>
        </w:rPr>
        <w:t>in corso</w:t>
      </w:r>
      <w:r w:rsidRPr="00813200">
        <w:rPr>
          <w:sz w:val="24"/>
          <w:szCs w:val="24"/>
        </w:rPr>
        <w:t xml:space="preserve"> il processo di dismissione di </w:t>
      </w:r>
      <w:r w:rsidR="00813200">
        <w:rPr>
          <w:sz w:val="24"/>
          <w:szCs w:val="24"/>
        </w:rPr>
        <w:t xml:space="preserve">alcune </w:t>
      </w:r>
      <w:r w:rsidRPr="00813200">
        <w:rPr>
          <w:sz w:val="24"/>
          <w:szCs w:val="24"/>
        </w:rPr>
        <w:t>partecipazioni societarie detenute</w:t>
      </w:r>
      <w:r w:rsidR="00D01A5D">
        <w:rPr>
          <w:sz w:val="24"/>
          <w:szCs w:val="24"/>
        </w:rPr>
        <w:t xml:space="preserve"> dall’Ateneo, in ossequio alla L</w:t>
      </w:r>
      <w:r w:rsidRPr="00813200">
        <w:rPr>
          <w:sz w:val="24"/>
          <w:szCs w:val="24"/>
        </w:rPr>
        <w:t>egge di Stabilità 2015, e che</w:t>
      </w:r>
      <w:r w:rsidR="00813200">
        <w:rPr>
          <w:sz w:val="24"/>
          <w:szCs w:val="24"/>
        </w:rPr>
        <w:t>,</w:t>
      </w:r>
      <w:r w:rsidRPr="00813200">
        <w:rPr>
          <w:sz w:val="24"/>
          <w:szCs w:val="24"/>
        </w:rPr>
        <w:t xml:space="preserve"> tra </w:t>
      </w:r>
      <w:r w:rsidR="00D01A5D">
        <w:rPr>
          <w:sz w:val="24"/>
          <w:szCs w:val="24"/>
        </w:rPr>
        <w:t>queste</w:t>
      </w:r>
      <w:r w:rsidR="00813200">
        <w:rPr>
          <w:sz w:val="24"/>
          <w:szCs w:val="24"/>
        </w:rPr>
        <w:t>,</w:t>
      </w:r>
      <w:r w:rsidRPr="00813200">
        <w:rPr>
          <w:sz w:val="24"/>
          <w:szCs w:val="24"/>
        </w:rPr>
        <w:t xml:space="preserve"> alcune hanno registrato bilanci in perdita negli ultimi 5 esercizi, si è ritenuto opportuno procedere con la suddetta </w:t>
      </w:r>
      <w:r w:rsidR="006B27B4">
        <w:rPr>
          <w:sz w:val="24"/>
          <w:szCs w:val="24"/>
        </w:rPr>
        <w:t xml:space="preserve">imputazione in </w:t>
      </w:r>
      <w:r w:rsidRPr="00813200">
        <w:rPr>
          <w:sz w:val="24"/>
          <w:szCs w:val="24"/>
        </w:rPr>
        <w:t>budget.</w:t>
      </w:r>
    </w:p>
    <w:p w:rsidR="0038061B" w:rsidRPr="00956FB5" w:rsidRDefault="0038061B" w:rsidP="0038061B">
      <w:pPr>
        <w:jc w:val="both"/>
        <w:rPr>
          <w:color w:val="FF0000"/>
          <w:sz w:val="24"/>
          <w:szCs w:val="24"/>
        </w:rPr>
      </w:pPr>
    </w:p>
    <w:p w:rsidR="00E47B44" w:rsidRPr="008C4829" w:rsidRDefault="00E47B44" w:rsidP="00BB282E">
      <w:pPr>
        <w:jc w:val="both"/>
        <w:rPr>
          <w:b/>
          <w:color w:val="548DD4" w:themeColor="text2" w:themeTint="99"/>
          <w:sz w:val="24"/>
          <w:szCs w:val="24"/>
        </w:rPr>
      </w:pPr>
    </w:p>
    <w:p w:rsidR="0023118B" w:rsidRPr="008C4829" w:rsidRDefault="0023118B" w:rsidP="00BB282E">
      <w:pPr>
        <w:jc w:val="both"/>
        <w:rPr>
          <w:b/>
          <w:color w:val="548DD4" w:themeColor="text2" w:themeTint="99"/>
          <w:sz w:val="24"/>
          <w:szCs w:val="24"/>
        </w:rPr>
      </w:pPr>
    </w:p>
    <w:p w:rsidR="00E3342C" w:rsidRPr="00E14E65" w:rsidRDefault="002C03AE" w:rsidP="00E14E65">
      <w:pPr>
        <w:pStyle w:val="Titolo1"/>
        <w:rPr>
          <w:rFonts w:ascii="Times New Roman" w:hAnsi="Times New Roman"/>
          <w:b/>
          <w:i w:val="0"/>
          <w:caps/>
          <w:color w:val="548DD4" w:themeColor="text2" w:themeTint="99"/>
          <w:sz w:val="24"/>
          <w:szCs w:val="24"/>
        </w:rPr>
      </w:pPr>
      <w:bookmarkStart w:id="27" w:name="_Toc469659535"/>
      <w:r w:rsidRPr="00E14E65">
        <w:rPr>
          <w:rFonts w:ascii="Times New Roman" w:hAnsi="Times New Roman"/>
          <w:b/>
          <w:i w:val="0"/>
          <w:caps/>
          <w:sz w:val="24"/>
          <w:szCs w:val="24"/>
        </w:rPr>
        <w:t>5</w:t>
      </w:r>
      <w:r w:rsidR="001108F0">
        <w:rPr>
          <w:rFonts w:ascii="Times New Roman" w:hAnsi="Times New Roman"/>
          <w:b/>
          <w:i w:val="0"/>
          <w:caps/>
          <w:sz w:val="24"/>
          <w:szCs w:val="24"/>
        </w:rPr>
        <w:t>.</w:t>
      </w:r>
      <w:r w:rsidR="00E3342C" w:rsidRPr="00E14E65">
        <w:rPr>
          <w:rFonts w:ascii="Times New Roman" w:hAnsi="Times New Roman"/>
          <w:b/>
          <w:i w:val="0"/>
          <w:caps/>
          <w:sz w:val="24"/>
          <w:szCs w:val="24"/>
        </w:rPr>
        <w:t>Versamenti in favore del bilancio dello Stato</w:t>
      </w:r>
      <w:bookmarkEnd w:id="27"/>
    </w:p>
    <w:p w:rsidR="00E3342C" w:rsidRPr="008C4829" w:rsidRDefault="00E3342C" w:rsidP="00E3342C">
      <w:pPr>
        <w:jc w:val="both"/>
        <w:rPr>
          <w:b/>
          <w:color w:val="548DD4" w:themeColor="text2" w:themeTint="99"/>
          <w:sz w:val="24"/>
          <w:szCs w:val="24"/>
        </w:rPr>
      </w:pPr>
    </w:p>
    <w:p w:rsidR="00E47B44" w:rsidRDefault="00E3342C" w:rsidP="004070F8">
      <w:pPr>
        <w:jc w:val="both"/>
        <w:rPr>
          <w:sz w:val="24"/>
          <w:szCs w:val="24"/>
        </w:rPr>
      </w:pPr>
      <w:r w:rsidRPr="008C4829">
        <w:rPr>
          <w:color w:val="548DD4" w:themeColor="text2" w:themeTint="99"/>
          <w:sz w:val="24"/>
          <w:szCs w:val="24"/>
        </w:rPr>
        <w:tab/>
      </w:r>
      <w:r w:rsidR="004070F8" w:rsidRPr="00B01D15">
        <w:rPr>
          <w:sz w:val="24"/>
          <w:szCs w:val="24"/>
        </w:rPr>
        <w:t xml:space="preserve">Nella </w:t>
      </w:r>
      <w:r w:rsidR="004070F8" w:rsidRPr="00B01D15">
        <w:rPr>
          <w:i/>
          <w:sz w:val="24"/>
          <w:szCs w:val="24"/>
        </w:rPr>
        <w:t xml:space="preserve">Tabella </w:t>
      </w:r>
      <w:r w:rsidR="00B01D15" w:rsidRPr="00B01D15">
        <w:rPr>
          <w:i/>
          <w:sz w:val="24"/>
          <w:szCs w:val="24"/>
        </w:rPr>
        <w:t>10</w:t>
      </w:r>
      <w:r w:rsidR="000567D0" w:rsidRPr="00B01D15">
        <w:rPr>
          <w:i/>
          <w:sz w:val="24"/>
          <w:szCs w:val="24"/>
        </w:rPr>
        <w:t xml:space="preserve"> </w:t>
      </w:r>
      <w:r w:rsidR="004070F8" w:rsidRPr="00B01D15">
        <w:rPr>
          <w:sz w:val="24"/>
          <w:szCs w:val="24"/>
        </w:rPr>
        <w:t xml:space="preserve">sono </w:t>
      </w:r>
      <w:r w:rsidR="004070F8" w:rsidRPr="00E47B44">
        <w:rPr>
          <w:sz w:val="24"/>
          <w:szCs w:val="24"/>
        </w:rPr>
        <w:t>riepilogati i valori</w:t>
      </w:r>
      <w:r w:rsidR="00E47B44" w:rsidRPr="00E47B44">
        <w:rPr>
          <w:sz w:val="24"/>
          <w:szCs w:val="24"/>
        </w:rPr>
        <w:t>,</w:t>
      </w:r>
      <w:r w:rsidR="004070F8" w:rsidRPr="00E47B44">
        <w:rPr>
          <w:sz w:val="24"/>
          <w:szCs w:val="24"/>
        </w:rPr>
        <w:t xml:space="preserve"> suddivisi per singola voce</w:t>
      </w:r>
      <w:r w:rsidR="00E47B44" w:rsidRPr="00E47B44">
        <w:rPr>
          <w:sz w:val="24"/>
          <w:szCs w:val="24"/>
        </w:rPr>
        <w:t>, riferibili ai versamenti in favore dello Stato</w:t>
      </w:r>
      <w:r w:rsidR="004070F8" w:rsidRPr="00E47B44">
        <w:rPr>
          <w:sz w:val="24"/>
          <w:szCs w:val="24"/>
        </w:rPr>
        <w:t>,</w:t>
      </w:r>
      <w:r w:rsidR="00E47B44" w:rsidRPr="00E47B44">
        <w:rPr>
          <w:sz w:val="24"/>
          <w:szCs w:val="24"/>
        </w:rPr>
        <w:t xml:space="preserve"> a seguito dei vari interventi normativi per il contenimento della spesa pubblica.</w:t>
      </w:r>
      <w:r w:rsidR="004070F8" w:rsidRPr="00E47B44">
        <w:rPr>
          <w:sz w:val="24"/>
          <w:szCs w:val="24"/>
        </w:rPr>
        <w:t xml:space="preserve"> </w:t>
      </w:r>
    </w:p>
    <w:p w:rsidR="00E3342C" w:rsidRPr="00E47B44" w:rsidRDefault="00E47B44" w:rsidP="00E47B44">
      <w:pPr>
        <w:ind w:firstLine="720"/>
        <w:jc w:val="both"/>
        <w:rPr>
          <w:sz w:val="24"/>
          <w:szCs w:val="24"/>
        </w:rPr>
      </w:pPr>
      <w:r>
        <w:rPr>
          <w:sz w:val="24"/>
          <w:szCs w:val="24"/>
        </w:rPr>
        <w:lastRenderedPageBreak/>
        <w:t>Detti versamenti sono direttamente collegati a</w:t>
      </w:r>
      <w:r w:rsidR="004070F8" w:rsidRPr="00E47B44">
        <w:rPr>
          <w:sz w:val="24"/>
          <w:szCs w:val="24"/>
        </w:rPr>
        <w:t xml:space="preserve">i tetti massimi di spesa </w:t>
      </w:r>
      <w:r w:rsidR="006D3F17" w:rsidRPr="00E47B44">
        <w:rPr>
          <w:sz w:val="24"/>
          <w:szCs w:val="24"/>
        </w:rPr>
        <w:t>per le</w:t>
      </w:r>
      <w:r w:rsidR="004070F8" w:rsidRPr="00E47B44">
        <w:rPr>
          <w:sz w:val="24"/>
          <w:szCs w:val="24"/>
        </w:rPr>
        <w:t xml:space="preserve"> medesime fattispecie. L’importo complessivo di € </w:t>
      </w:r>
      <w:r>
        <w:rPr>
          <w:sz w:val="24"/>
          <w:szCs w:val="24"/>
        </w:rPr>
        <w:t>172.847,00</w:t>
      </w:r>
      <w:r w:rsidR="004070F8" w:rsidRPr="00E47B44">
        <w:rPr>
          <w:sz w:val="24"/>
          <w:szCs w:val="24"/>
        </w:rPr>
        <w:t xml:space="preserve"> è imputato al conto analitico CA.04.48.05.01 “Restituzioni e rimborsi diversi”.</w:t>
      </w:r>
    </w:p>
    <w:p w:rsidR="00E47B44" w:rsidRDefault="00E47B44" w:rsidP="0023118B">
      <w:pPr>
        <w:tabs>
          <w:tab w:val="left" w:pos="0"/>
        </w:tabs>
        <w:spacing w:line="360" w:lineRule="auto"/>
        <w:ind w:left="1065"/>
        <w:rPr>
          <w:i/>
          <w:color w:val="FF0000"/>
          <w:sz w:val="24"/>
        </w:rPr>
      </w:pPr>
    </w:p>
    <w:p w:rsidR="00E47B44" w:rsidRDefault="00E47B44" w:rsidP="0023118B">
      <w:pPr>
        <w:tabs>
          <w:tab w:val="left" w:pos="0"/>
        </w:tabs>
        <w:spacing w:line="360" w:lineRule="auto"/>
        <w:ind w:left="1065"/>
        <w:rPr>
          <w:i/>
          <w:color w:val="FF0000"/>
          <w:sz w:val="24"/>
        </w:rPr>
      </w:pPr>
    </w:p>
    <w:p w:rsidR="0023118B" w:rsidRPr="002702B2" w:rsidRDefault="00E3342C" w:rsidP="0023118B">
      <w:pPr>
        <w:tabs>
          <w:tab w:val="left" w:pos="0"/>
        </w:tabs>
        <w:spacing w:line="360" w:lineRule="auto"/>
        <w:ind w:left="1065"/>
        <w:rPr>
          <w:i/>
        </w:rPr>
      </w:pPr>
      <w:r w:rsidRPr="00B01D15">
        <w:rPr>
          <w:i/>
        </w:rPr>
        <w:t xml:space="preserve">Tabella </w:t>
      </w:r>
      <w:r w:rsidR="00B01D15" w:rsidRPr="00B01D15">
        <w:rPr>
          <w:i/>
        </w:rPr>
        <w:t>10</w:t>
      </w:r>
      <w:r w:rsidR="0023118B" w:rsidRPr="00B01D15">
        <w:rPr>
          <w:i/>
        </w:rPr>
        <w:t xml:space="preserve">: Limiti </w:t>
      </w:r>
      <w:r w:rsidR="0023118B" w:rsidRPr="002702B2">
        <w:rPr>
          <w:i/>
        </w:rPr>
        <w:t>di spesa in applicazione della normativa vigente</w:t>
      </w:r>
    </w:p>
    <w:tbl>
      <w:tblPr>
        <w:tblW w:w="6455" w:type="dxa"/>
        <w:tblInd w:w="537" w:type="dxa"/>
        <w:tblCellMar>
          <w:left w:w="0" w:type="dxa"/>
          <w:right w:w="0" w:type="dxa"/>
        </w:tblCellMar>
        <w:tblLook w:val="0000" w:firstRow="0" w:lastRow="0" w:firstColumn="0" w:lastColumn="0" w:noHBand="0" w:noVBand="0"/>
      </w:tblPr>
      <w:tblGrid>
        <w:gridCol w:w="1452"/>
        <w:gridCol w:w="2277"/>
        <w:gridCol w:w="1423"/>
        <w:gridCol w:w="1303"/>
      </w:tblGrid>
      <w:tr w:rsidR="00E15ABF" w:rsidRPr="008C4829" w:rsidTr="00E15ABF">
        <w:trPr>
          <w:trHeight w:val="20"/>
          <w:tblHeader/>
        </w:trPr>
        <w:tc>
          <w:tcPr>
            <w:tcW w:w="145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15ABF" w:rsidRPr="00E47B44" w:rsidRDefault="00E15ABF" w:rsidP="00E3342C">
            <w:pPr>
              <w:jc w:val="center"/>
              <w:rPr>
                <w:b/>
                <w:bCs/>
                <w:sz w:val="18"/>
                <w:szCs w:val="16"/>
              </w:rPr>
            </w:pPr>
            <w:r w:rsidRPr="00E47B44">
              <w:rPr>
                <w:b/>
                <w:bCs/>
                <w:sz w:val="18"/>
                <w:szCs w:val="16"/>
              </w:rPr>
              <w:t>Descrizione</w:t>
            </w:r>
          </w:p>
        </w:tc>
        <w:tc>
          <w:tcPr>
            <w:tcW w:w="2277"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E15ABF" w:rsidRPr="00E47B44" w:rsidRDefault="00E15ABF" w:rsidP="00E3342C">
            <w:pPr>
              <w:jc w:val="center"/>
              <w:rPr>
                <w:b/>
                <w:bCs/>
                <w:sz w:val="18"/>
                <w:szCs w:val="16"/>
              </w:rPr>
            </w:pPr>
            <w:r w:rsidRPr="00E47B44">
              <w:rPr>
                <w:b/>
                <w:bCs/>
                <w:sz w:val="18"/>
                <w:szCs w:val="16"/>
              </w:rPr>
              <w:t>Rif. normativo</w:t>
            </w:r>
          </w:p>
        </w:tc>
        <w:tc>
          <w:tcPr>
            <w:tcW w:w="1423" w:type="dxa"/>
            <w:tcBorders>
              <w:top w:val="single" w:sz="4" w:space="0" w:color="auto"/>
              <w:left w:val="nil"/>
              <w:bottom w:val="single" w:sz="4" w:space="0" w:color="auto"/>
              <w:right w:val="single" w:sz="4" w:space="0" w:color="auto"/>
            </w:tcBorders>
          </w:tcPr>
          <w:p w:rsidR="00E15ABF" w:rsidRPr="00E47B44" w:rsidRDefault="00E15ABF" w:rsidP="00E3342C">
            <w:pPr>
              <w:jc w:val="center"/>
              <w:rPr>
                <w:b/>
                <w:bCs/>
                <w:sz w:val="18"/>
                <w:szCs w:val="16"/>
              </w:rPr>
            </w:pPr>
            <w:r w:rsidRPr="00E47B44">
              <w:rPr>
                <w:b/>
                <w:bCs/>
                <w:sz w:val="18"/>
                <w:szCs w:val="16"/>
              </w:rPr>
              <w:t xml:space="preserve">Importo </w:t>
            </w:r>
          </w:p>
          <w:p w:rsidR="00E15ABF" w:rsidRPr="00E47B44" w:rsidRDefault="00E15ABF" w:rsidP="00E3342C">
            <w:pPr>
              <w:jc w:val="center"/>
              <w:rPr>
                <w:b/>
                <w:bCs/>
                <w:sz w:val="18"/>
                <w:szCs w:val="16"/>
              </w:rPr>
            </w:pPr>
            <w:r w:rsidRPr="00E47B44">
              <w:rPr>
                <w:b/>
                <w:bCs/>
                <w:sz w:val="18"/>
                <w:szCs w:val="16"/>
              </w:rPr>
              <w:t>di riferimento per il limite di  spesa</w:t>
            </w:r>
          </w:p>
        </w:tc>
        <w:tc>
          <w:tcPr>
            <w:tcW w:w="1303" w:type="dxa"/>
            <w:tcBorders>
              <w:top w:val="single" w:sz="4" w:space="0" w:color="auto"/>
              <w:left w:val="single" w:sz="4" w:space="0" w:color="auto"/>
              <w:bottom w:val="single" w:sz="4" w:space="0" w:color="auto"/>
              <w:right w:val="single" w:sz="4" w:space="0" w:color="auto"/>
            </w:tcBorders>
          </w:tcPr>
          <w:p w:rsidR="00E15ABF" w:rsidRPr="00E47B44" w:rsidRDefault="00E15ABF" w:rsidP="00E3342C">
            <w:pPr>
              <w:jc w:val="center"/>
              <w:rPr>
                <w:b/>
                <w:bCs/>
                <w:i/>
                <w:sz w:val="18"/>
                <w:szCs w:val="16"/>
              </w:rPr>
            </w:pPr>
            <w:r w:rsidRPr="00E47B44">
              <w:rPr>
                <w:b/>
                <w:bCs/>
                <w:i/>
                <w:sz w:val="18"/>
                <w:szCs w:val="16"/>
              </w:rPr>
              <w:t>Versamento al bilancio dello Stato</w:t>
            </w:r>
          </w:p>
        </w:tc>
      </w:tr>
      <w:tr w:rsidR="00E15ABF" w:rsidRPr="008C4829" w:rsidTr="00E15ABF">
        <w:trPr>
          <w:trHeight w:val="20"/>
        </w:trPr>
        <w:tc>
          <w:tcPr>
            <w:tcW w:w="1452"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E15ABF" w:rsidRPr="000567D0" w:rsidRDefault="00E15ABF" w:rsidP="00E3342C">
            <w:pPr>
              <w:spacing w:line="140" w:lineRule="atLeast"/>
              <w:jc w:val="center"/>
              <w:rPr>
                <w:bCs/>
                <w:sz w:val="16"/>
                <w:szCs w:val="16"/>
              </w:rPr>
            </w:pPr>
            <w:r w:rsidRPr="000567D0">
              <w:rPr>
                <w:bCs/>
                <w:sz w:val="16"/>
                <w:szCs w:val="16"/>
              </w:rPr>
              <w:t>Mobili e arredi</w:t>
            </w:r>
          </w:p>
        </w:tc>
        <w:tc>
          <w:tcPr>
            <w:tcW w:w="2277" w:type="dxa"/>
            <w:tcBorders>
              <w:top w:val="nil"/>
              <w:left w:val="nil"/>
              <w:bottom w:val="single" w:sz="4" w:space="0" w:color="auto"/>
              <w:right w:val="single" w:sz="4" w:space="0" w:color="auto"/>
            </w:tcBorders>
            <w:tcMar>
              <w:top w:w="13" w:type="dxa"/>
              <w:left w:w="13" w:type="dxa"/>
              <w:bottom w:w="0" w:type="dxa"/>
              <w:right w:w="13" w:type="dxa"/>
            </w:tcMar>
            <w:vAlign w:val="center"/>
          </w:tcPr>
          <w:p w:rsidR="00E15ABF" w:rsidRPr="000567D0" w:rsidRDefault="003A2464" w:rsidP="00E3342C">
            <w:pPr>
              <w:spacing w:line="140" w:lineRule="atLeast"/>
              <w:jc w:val="center"/>
              <w:rPr>
                <w:sz w:val="16"/>
                <w:szCs w:val="16"/>
              </w:rPr>
            </w:pPr>
            <w:r w:rsidRPr="000567D0">
              <w:rPr>
                <w:sz w:val="16"/>
                <w:szCs w:val="16"/>
              </w:rPr>
              <w:t>Art.1, commi 141 e 142 (ulteriori riduzioni per acquisto di mobili e arredi anni 2013, 2014 e 2015 L.2012, n.228</w:t>
            </w:r>
          </w:p>
        </w:tc>
        <w:tc>
          <w:tcPr>
            <w:tcW w:w="1423" w:type="dxa"/>
            <w:tcBorders>
              <w:top w:val="single" w:sz="4" w:space="0" w:color="auto"/>
              <w:left w:val="nil"/>
              <w:bottom w:val="single" w:sz="4" w:space="0" w:color="auto"/>
              <w:right w:val="single" w:sz="4" w:space="0" w:color="auto"/>
            </w:tcBorders>
            <w:vAlign w:val="center"/>
          </w:tcPr>
          <w:p w:rsidR="00E15ABF" w:rsidRPr="000567D0" w:rsidRDefault="000567D0" w:rsidP="00E3342C">
            <w:pPr>
              <w:spacing w:line="140" w:lineRule="atLeast"/>
              <w:jc w:val="center"/>
              <w:rPr>
                <w:sz w:val="16"/>
                <w:szCs w:val="16"/>
              </w:rPr>
            </w:pPr>
            <w:r w:rsidRPr="000567D0">
              <w:rPr>
                <w:sz w:val="16"/>
                <w:szCs w:val="16"/>
              </w:rPr>
              <w:t>9.000,00</w:t>
            </w:r>
          </w:p>
        </w:tc>
        <w:tc>
          <w:tcPr>
            <w:tcW w:w="1303" w:type="dxa"/>
            <w:tcBorders>
              <w:top w:val="nil"/>
              <w:left w:val="single" w:sz="4" w:space="0" w:color="auto"/>
              <w:bottom w:val="single" w:sz="4" w:space="0" w:color="auto"/>
              <w:right w:val="single" w:sz="4" w:space="0" w:color="auto"/>
            </w:tcBorders>
          </w:tcPr>
          <w:p w:rsidR="00E15ABF" w:rsidRPr="000567D0" w:rsidRDefault="00E15ABF" w:rsidP="00E3342C">
            <w:pPr>
              <w:spacing w:line="140" w:lineRule="atLeast"/>
              <w:jc w:val="center"/>
              <w:rPr>
                <w:sz w:val="16"/>
                <w:szCs w:val="16"/>
              </w:rPr>
            </w:pPr>
          </w:p>
          <w:p w:rsidR="00E15ABF" w:rsidRPr="000567D0" w:rsidRDefault="000567D0" w:rsidP="000567D0">
            <w:pPr>
              <w:spacing w:line="140" w:lineRule="atLeast"/>
              <w:jc w:val="center"/>
              <w:rPr>
                <w:sz w:val="16"/>
                <w:szCs w:val="16"/>
              </w:rPr>
            </w:pPr>
            <w:r w:rsidRPr="000567D0">
              <w:rPr>
                <w:sz w:val="16"/>
                <w:szCs w:val="16"/>
              </w:rPr>
              <w:t>7.200,00</w:t>
            </w:r>
          </w:p>
        </w:tc>
      </w:tr>
      <w:tr w:rsidR="00E15ABF" w:rsidRPr="008C4829" w:rsidTr="00E15ABF">
        <w:trPr>
          <w:trHeight w:val="20"/>
        </w:trPr>
        <w:tc>
          <w:tcPr>
            <w:tcW w:w="1452"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E15ABF" w:rsidRPr="003A2464" w:rsidRDefault="00E15ABF" w:rsidP="00E3342C">
            <w:pPr>
              <w:spacing w:line="140" w:lineRule="atLeast"/>
              <w:jc w:val="center"/>
              <w:rPr>
                <w:b/>
                <w:bCs/>
                <w:sz w:val="16"/>
                <w:szCs w:val="16"/>
              </w:rPr>
            </w:pPr>
            <w:r w:rsidRPr="003A2464">
              <w:rPr>
                <w:b/>
                <w:bCs/>
                <w:sz w:val="16"/>
                <w:szCs w:val="16"/>
              </w:rPr>
              <w:t xml:space="preserve">Gettoni/indennità ai componenti degli organi istituzionali Indennità </w:t>
            </w:r>
          </w:p>
        </w:tc>
        <w:tc>
          <w:tcPr>
            <w:tcW w:w="2277" w:type="dxa"/>
            <w:tcBorders>
              <w:top w:val="nil"/>
              <w:left w:val="nil"/>
              <w:bottom w:val="single" w:sz="4" w:space="0" w:color="auto"/>
              <w:right w:val="single" w:sz="4" w:space="0" w:color="auto"/>
            </w:tcBorders>
            <w:tcMar>
              <w:top w:w="13" w:type="dxa"/>
              <w:left w:w="13" w:type="dxa"/>
              <w:bottom w:w="0" w:type="dxa"/>
              <w:right w:w="13" w:type="dxa"/>
            </w:tcMar>
            <w:vAlign w:val="center"/>
          </w:tcPr>
          <w:p w:rsidR="00E15ABF" w:rsidRPr="003A2464" w:rsidRDefault="00E15ABF" w:rsidP="00E3342C">
            <w:pPr>
              <w:spacing w:line="140" w:lineRule="atLeast"/>
              <w:jc w:val="center"/>
              <w:rPr>
                <w:sz w:val="16"/>
                <w:szCs w:val="16"/>
              </w:rPr>
            </w:pPr>
            <w:r w:rsidRPr="003A2464">
              <w:rPr>
                <w:sz w:val="16"/>
                <w:szCs w:val="16"/>
              </w:rPr>
              <w:t>L n.122/2010, art. 6, comma 3: 10 % in meno del 2010 al netto di eventuali maggiorazioni intervenute dopo il 30 aprile 2010</w:t>
            </w:r>
          </w:p>
        </w:tc>
        <w:tc>
          <w:tcPr>
            <w:tcW w:w="1423" w:type="dxa"/>
            <w:tcBorders>
              <w:top w:val="single" w:sz="4" w:space="0" w:color="auto"/>
              <w:left w:val="nil"/>
              <w:bottom w:val="single" w:sz="4" w:space="0" w:color="auto"/>
              <w:right w:val="single" w:sz="4" w:space="0" w:color="auto"/>
            </w:tcBorders>
            <w:vAlign w:val="center"/>
          </w:tcPr>
          <w:p w:rsidR="00E15ABF" w:rsidRPr="003A2464" w:rsidRDefault="00E15ABF" w:rsidP="00E3342C">
            <w:pPr>
              <w:spacing w:line="140" w:lineRule="atLeast"/>
              <w:jc w:val="center"/>
              <w:rPr>
                <w:sz w:val="16"/>
                <w:szCs w:val="16"/>
              </w:rPr>
            </w:pPr>
            <w:r w:rsidRPr="003A2464">
              <w:rPr>
                <w:sz w:val="16"/>
                <w:szCs w:val="16"/>
              </w:rPr>
              <w:t>313.038,00</w:t>
            </w:r>
          </w:p>
        </w:tc>
        <w:tc>
          <w:tcPr>
            <w:tcW w:w="1303" w:type="dxa"/>
            <w:tcBorders>
              <w:top w:val="nil"/>
              <w:left w:val="single" w:sz="4" w:space="0" w:color="auto"/>
              <w:bottom w:val="single" w:sz="4" w:space="0" w:color="auto"/>
              <w:right w:val="single" w:sz="4" w:space="0" w:color="auto"/>
            </w:tcBorders>
          </w:tcPr>
          <w:p w:rsidR="00E15ABF" w:rsidRPr="003A2464" w:rsidRDefault="00E15ABF" w:rsidP="00E3342C">
            <w:pPr>
              <w:spacing w:line="140" w:lineRule="atLeast"/>
              <w:jc w:val="center"/>
              <w:rPr>
                <w:sz w:val="16"/>
                <w:szCs w:val="16"/>
              </w:rPr>
            </w:pPr>
          </w:p>
          <w:p w:rsidR="00E15ABF" w:rsidRPr="003A2464" w:rsidRDefault="00E15ABF" w:rsidP="00E3342C">
            <w:pPr>
              <w:spacing w:line="360" w:lineRule="auto"/>
              <w:jc w:val="center"/>
              <w:rPr>
                <w:sz w:val="16"/>
                <w:szCs w:val="16"/>
              </w:rPr>
            </w:pPr>
          </w:p>
          <w:p w:rsidR="00E15ABF" w:rsidRPr="003A2464" w:rsidRDefault="00E15ABF" w:rsidP="00E3342C">
            <w:pPr>
              <w:spacing w:line="360" w:lineRule="auto"/>
              <w:jc w:val="center"/>
              <w:rPr>
                <w:sz w:val="16"/>
                <w:szCs w:val="16"/>
              </w:rPr>
            </w:pPr>
            <w:r w:rsidRPr="003A2464">
              <w:rPr>
                <w:sz w:val="16"/>
                <w:szCs w:val="16"/>
              </w:rPr>
              <w:t>31.303,00</w:t>
            </w:r>
          </w:p>
          <w:p w:rsidR="00E15ABF" w:rsidRPr="003A2464" w:rsidRDefault="00E15ABF" w:rsidP="00E3342C">
            <w:pPr>
              <w:jc w:val="center"/>
              <w:rPr>
                <w:sz w:val="16"/>
                <w:szCs w:val="16"/>
              </w:rPr>
            </w:pPr>
          </w:p>
        </w:tc>
      </w:tr>
      <w:tr w:rsidR="00E15ABF" w:rsidRPr="008C4829" w:rsidTr="00E15ABF">
        <w:trPr>
          <w:trHeight w:val="20"/>
        </w:trPr>
        <w:tc>
          <w:tcPr>
            <w:tcW w:w="145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15ABF" w:rsidRPr="003A2464" w:rsidRDefault="00E15ABF" w:rsidP="00E3342C">
            <w:pPr>
              <w:spacing w:line="140" w:lineRule="atLeast"/>
              <w:jc w:val="center"/>
              <w:rPr>
                <w:b/>
                <w:bCs/>
                <w:sz w:val="16"/>
                <w:szCs w:val="16"/>
              </w:rPr>
            </w:pPr>
            <w:r w:rsidRPr="003A2464">
              <w:rPr>
                <w:b/>
                <w:bCs/>
                <w:sz w:val="16"/>
                <w:szCs w:val="16"/>
              </w:rPr>
              <w:t>Pubblicità</w:t>
            </w:r>
          </w:p>
        </w:tc>
        <w:tc>
          <w:tcPr>
            <w:tcW w:w="2277"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E15ABF" w:rsidRPr="003A2464" w:rsidRDefault="00E15ABF" w:rsidP="00E3342C">
            <w:pPr>
              <w:spacing w:line="140" w:lineRule="atLeast"/>
              <w:jc w:val="center"/>
              <w:rPr>
                <w:sz w:val="16"/>
                <w:szCs w:val="16"/>
              </w:rPr>
            </w:pPr>
            <w:r w:rsidRPr="003A2464">
              <w:rPr>
                <w:sz w:val="16"/>
                <w:szCs w:val="16"/>
              </w:rPr>
              <w:t>L n.122/2010, art. 6, comma 8: massimo il 20% della spesa sostenuta nel 2009</w:t>
            </w:r>
          </w:p>
        </w:tc>
        <w:tc>
          <w:tcPr>
            <w:tcW w:w="1423" w:type="dxa"/>
            <w:tcBorders>
              <w:top w:val="single" w:sz="4" w:space="0" w:color="auto"/>
              <w:left w:val="nil"/>
              <w:bottom w:val="single" w:sz="4" w:space="0" w:color="auto"/>
              <w:right w:val="single" w:sz="4" w:space="0" w:color="auto"/>
            </w:tcBorders>
            <w:vAlign w:val="center"/>
          </w:tcPr>
          <w:p w:rsidR="00E15ABF" w:rsidRPr="003A2464" w:rsidRDefault="00E15ABF" w:rsidP="00E3342C">
            <w:pPr>
              <w:spacing w:line="140" w:lineRule="atLeast"/>
              <w:jc w:val="center"/>
              <w:rPr>
                <w:sz w:val="16"/>
                <w:szCs w:val="16"/>
              </w:rPr>
            </w:pPr>
            <w:r w:rsidRPr="003A2464">
              <w:rPr>
                <w:sz w:val="16"/>
                <w:szCs w:val="16"/>
              </w:rPr>
              <w:t>40.000,00</w:t>
            </w:r>
          </w:p>
        </w:tc>
        <w:tc>
          <w:tcPr>
            <w:tcW w:w="1303" w:type="dxa"/>
            <w:vMerge w:val="restart"/>
            <w:tcBorders>
              <w:top w:val="single" w:sz="4" w:space="0" w:color="auto"/>
              <w:left w:val="single" w:sz="4" w:space="0" w:color="auto"/>
              <w:bottom w:val="single" w:sz="4" w:space="0" w:color="auto"/>
              <w:right w:val="single" w:sz="4" w:space="0" w:color="auto"/>
            </w:tcBorders>
          </w:tcPr>
          <w:p w:rsidR="00E15ABF" w:rsidRPr="003A2464" w:rsidRDefault="00E15ABF" w:rsidP="00E3342C">
            <w:pPr>
              <w:spacing w:line="140" w:lineRule="atLeast"/>
              <w:jc w:val="both"/>
              <w:rPr>
                <w:sz w:val="16"/>
                <w:szCs w:val="16"/>
              </w:rPr>
            </w:pPr>
          </w:p>
          <w:p w:rsidR="00E15ABF" w:rsidRPr="003A2464" w:rsidRDefault="00E15ABF" w:rsidP="00E3342C">
            <w:pPr>
              <w:spacing w:line="140" w:lineRule="atLeast"/>
              <w:jc w:val="center"/>
              <w:rPr>
                <w:sz w:val="16"/>
                <w:szCs w:val="16"/>
              </w:rPr>
            </w:pPr>
          </w:p>
          <w:p w:rsidR="00E15ABF" w:rsidRPr="003A2464" w:rsidRDefault="00E15ABF" w:rsidP="00E3342C">
            <w:pPr>
              <w:spacing w:line="140" w:lineRule="atLeast"/>
              <w:jc w:val="center"/>
              <w:rPr>
                <w:sz w:val="16"/>
                <w:szCs w:val="16"/>
              </w:rPr>
            </w:pPr>
            <w:r w:rsidRPr="003A2464">
              <w:rPr>
                <w:sz w:val="16"/>
                <w:szCs w:val="16"/>
              </w:rPr>
              <w:t>33.994,00</w:t>
            </w:r>
          </w:p>
        </w:tc>
      </w:tr>
      <w:tr w:rsidR="00E15ABF" w:rsidRPr="008C4829" w:rsidTr="00E15ABF">
        <w:trPr>
          <w:trHeight w:val="730"/>
        </w:trPr>
        <w:tc>
          <w:tcPr>
            <w:tcW w:w="145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15ABF" w:rsidRPr="003A2464" w:rsidRDefault="00E15ABF" w:rsidP="00E3342C">
            <w:pPr>
              <w:spacing w:line="140" w:lineRule="atLeast"/>
              <w:jc w:val="center"/>
              <w:rPr>
                <w:b/>
                <w:bCs/>
                <w:sz w:val="16"/>
                <w:szCs w:val="16"/>
              </w:rPr>
            </w:pPr>
            <w:r w:rsidRPr="003A2464">
              <w:rPr>
                <w:b/>
                <w:bCs/>
                <w:sz w:val="16"/>
                <w:szCs w:val="16"/>
              </w:rPr>
              <w:t>Spese di rappresentanza</w:t>
            </w:r>
          </w:p>
        </w:tc>
        <w:tc>
          <w:tcPr>
            <w:tcW w:w="2277"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E15ABF" w:rsidRPr="003A2464" w:rsidRDefault="00E15ABF" w:rsidP="00E3342C">
            <w:pPr>
              <w:spacing w:line="140" w:lineRule="atLeast"/>
              <w:jc w:val="center"/>
              <w:rPr>
                <w:sz w:val="16"/>
                <w:szCs w:val="16"/>
              </w:rPr>
            </w:pPr>
            <w:r w:rsidRPr="003A2464">
              <w:rPr>
                <w:sz w:val="16"/>
                <w:szCs w:val="16"/>
              </w:rPr>
              <w:t>L n.122/2010, art. 6, comma 8: massimo il 20% della spesa sostenuta nel 2009</w:t>
            </w:r>
          </w:p>
        </w:tc>
        <w:tc>
          <w:tcPr>
            <w:tcW w:w="1423" w:type="dxa"/>
            <w:tcBorders>
              <w:top w:val="single" w:sz="4" w:space="0" w:color="auto"/>
              <w:left w:val="nil"/>
              <w:bottom w:val="single" w:sz="4" w:space="0" w:color="auto"/>
              <w:right w:val="single" w:sz="4" w:space="0" w:color="auto"/>
            </w:tcBorders>
            <w:vAlign w:val="center"/>
          </w:tcPr>
          <w:p w:rsidR="00E15ABF" w:rsidRPr="003A2464" w:rsidRDefault="00E15ABF" w:rsidP="00E3342C">
            <w:pPr>
              <w:spacing w:line="140" w:lineRule="atLeast"/>
              <w:jc w:val="center"/>
              <w:rPr>
                <w:sz w:val="16"/>
                <w:szCs w:val="16"/>
              </w:rPr>
            </w:pPr>
            <w:r w:rsidRPr="003A2464">
              <w:rPr>
                <w:sz w:val="16"/>
                <w:szCs w:val="16"/>
              </w:rPr>
              <w:t>2.492,00</w:t>
            </w:r>
          </w:p>
        </w:tc>
        <w:tc>
          <w:tcPr>
            <w:tcW w:w="1303" w:type="dxa"/>
            <w:vMerge/>
            <w:tcBorders>
              <w:top w:val="single" w:sz="4" w:space="0" w:color="auto"/>
              <w:left w:val="single" w:sz="4" w:space="0" w:color="auto"/>
              <w:bottom w:val="single" w:sz="4" w:space="0" w:color="auto"/>
              <w:right w:val="single" w:sz="4" w:space="0" w:color="auto"/>
            </w:tcBorders>
          </w:tcPr>
          <w:p w:rsidR="00E15ABF" w:rsidRPr="003A2464" w:rsidRDefault="00E15ABF" w:rsidP="00E3342C">
            <w:pPr>
              <w:spacing w:line="140" w:lineRule="atLeast"/>
              <w:jc w:val="both"/>
              <w:rPr>
                <w:sz w:val="16"/>
                <w:szCs w:val="16"/>
              </w:rPr>
            </w:pPr>
          </w:p>
        </w:tc>
      </w:tr>
      <w:tr w:rsidR="00E15ABF" w:rsidRPr="008C4829" w:rsidTr="003A2464">
        <w:trPr>
          <w:trHeight w:val="20"/>
        </w:trPr>
        <w:tc>
          <w:tcPr>
            <w:tcW w:w="145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15ABF" w:rsidRPr="003A2464" w:rsidRDefault="00E15ABF" w:rsidP="00E3342C">
            <w:pPr>
              <w:spacing w:line="140" w:lineRule="atLeast"/>
              <w:jc w:val="center"/>
              <w:rPr>
                <w:b/>
                <w:bCs/>
                <w:sz w:val="16"/>
                <w:szCs w:val="16"/>
              </w:rPr>
            </w:pPr>
            <w:r w:rsidRPr="003A2464">
              <w:rPr>
                <w:b/>
                <w:bCs/>
                <w:sz w:val="16"/>
                <w:szCs w:val="16"/>
              </w:rPr>
              <w:t>Mezzi di trasporto</w:t>
            </w:r>
          </w:p>
        </w:tc>
        <w:tc>
          <w:tcPr>
            <w:tcW w:w="2277"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E15ABF" w:rsidRPr="003A2464" w:rsidRDefault="00E15ABF" w:rsidP="00E3342C">
            <w:pPr>
              <w:spacing w:line="140" w:lineRule="atLeast"/>
              <w:jc w:val="center"/>
              <w:rPr>
                <w:sz w:val="16"/>
                <w:szCs w:val="16"/>
              </w:rPr>
            </w:pPr>
            <w:r w:rsidRPr="003A2464">
              <w:rPr>
                <w:sz w:val="16"/>
                <w:szCs w:val="16"/>
              </w:rPr>
              <w:t>L n.122/2010, art. 6, comma 14: massimo l' 80% della spesa sostenuta nel 2009</w:t>
            </w:r>
          </w:p>
          <w:p w:rsidR="00E15ABF" w:rsidRPr="003A2464" w:rsidRDefault="00E15ABF" w:rsidP="00E3342C">
            <w:pPr>
              <w:spacing w:line="140" w:lineRule="atLeast"/>
              <w:jc w:val="center"/>
              <w:rPr>
                <w:sz w:val="16"/>
                <w:szCs w:val="16"/>
              </w:rPr>
            </w:pPr>
            <w:r w:rsidRPr="003A2464">
              <w:rPr>
                <w:sz w:val="16"/>
                <w:szCs w:val="16"/>
              </w:rPr>
              <w:t xml:space="preserve"> e</w:t>
            </w:r>
          </w:p>
          <w:p w:rsidR="00E15ABF" w:rsidRPr="003A2464" w:rsidRDefault="00E15ABF" w:rsidP="00E3342C">
            <w:pPr>
              <w:spacing w:line="140" w:lineRule="atLeast"/>
              <w:jc w:val="center"/>
              <w:rPr>
                <w:sz w:val="16"/>
                <w:szCs w:val="16"/>
              </w:rPr>
            </w:pPr>
            <w:r w:rsidRPr="003A2464">
              <w:rPr>
                <w:sz w:val="16"/>
                <w:szCs w:val="16"/>
              </w:rPr>
              <w:t xml:space="preserve"> L.135/2012, art.5, comma 2</w:t>
            </w:r>
          </w:p>
        </w:tc>
        <w:tc>
          <w:tcPr>
            <w:tcW w:w="1423" w:type="dxa"/>
            <w:tcBorders>
              <w:top w:val="single" w:sz="4" w:space="0" w:color="auto"/>
              <w:left w:val="nil"/>
              <w:bottom w:val="single" w:sz="4" w:space="0" w:color="auto"/>
              <w:right w:val="single" w:sz="4" w:space="0" w:color="auto"/>
            </w:tcBorders>
            <w:vAlign w:val="center"/>
          </w:tcPr>
          <w:p w:rsidR="00E15ABF" w:rsidRPr="003A2464" w:rsidRDefault="00E15ABF" w:rsidP="00E3342C">
            <w:pPr>
              <w:spacing w:line="140" w:lineRule="atLeast"/>
              <w:jc w:val="center"/>
              <w:rPr>
                <w:sz w:val="16"/>
                <w:szCs w:val="16"/>
              </w:rPr>
            </w:pPr>
            <w:r w:rsidRPr="003A2464">
              <w:rPr>
                <w:sz w:val="16"/>
                <w:szCs w:val="16"/>
              </w:rPr>
              <w:t>5.400,00</w:t>
            </w:r>
          </w:p>
        </w:tc>
        <w:tc>
          <w:tcPr>
            <w:tcW w:w="1303" w:type="dxa"/>
            <w:tcBorders>
              <w:top w:val="single" w:sz="4" w:space="0" w:color="auto"/>
              <w:left w:val="single" w:sz="4" w:space="0" w:color="auto"/>
              <w:bottom w:val="single" w:sz="4" w:space="0" w:color="auto"/>
              <w:right w:val="single" w:sz="4" w:space="0" w:color="auto"/>
            </w:tcBorders>
          </w:tcPr>
          <w:p w:rsidR="00E15ABF" w:rsidRPr="003A2464" w:rsidRDefault="00E15ABF" w:rsidP="00E3342C">
            <w:pPr>
              <w:spacing w:line="140" w:lineRule="atLeast"/>
              <w:jc w:val="center"/>
              <w:rPr>
                <w:sz w:val="16"/>
                <w:szCs w:val="16"/>
              </w:rPr>
            </w:pPr>
          </w:p>
          <w:p w:rsidR="00E15ABF" w:rsidRPr="003A2464" w:rsidRDefault="00E15ABF" w:rsidP="00E3342C">
            <w:pPr>
              <w:spacing w:line="140" w:lineRule="atLeast"/>
              <w:jc w:val="center"/>
              <w:rPr>
                <w:sz w:val="16"/>
                <w:szCs w:val="16"/>
              </w:rPr>
            </w:pPr>
          </w:p>
          <w:p w:rsidR="00E15ABF" w:rsidRPr="003A2464" w:rsidRDefault="00E15ABF" w:rsidP="000567D0">
            <w:pPr>
              <w:spacing w:line="140" w:lineRule="atLeast"/>
              <w:jc w:val="center"/>
              <w:rPr>
                <w:sz w:val="16"/>
                <w:szCs w:val="16"/>
              </w:rPr>
            </w:pPr>
            <w:r w:rsidRPr="003A2464">
              <w:rPr>
                <w:sz w:val="16"/>
                <w:szCs w:val="16"/>
              </w:rPr>
              <w:t>1.350,00</w:t>
            </w:r>
          </w:p>
        </w:tc>
      </w:tr>
      <w:tr w:rsidR="003A2464" w:rsidRPr="008C4829" w:rsidTr="00A26F05">
        <w:trPr>
          <w:trHeight w:val="20"/>
        </w:trPr>
        <w:tc>
          <w:tcPr>
            <w:tcW w:w="145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3A2464" w:rsidRPr="003A2464" w:rsidRDefault="003A2464" w:rsidP="003A2464">
            <w:pPr>
              <w:spacing w:line="140" w:lineRule="atLeast"/>
              <w:jc w:val="center"/>
              <w:rPr>
                <w:b/>
                <w:bCs/>
                <w:sz w:val="16"/>
                <w:szCs w:val="16"/>
              </w:rPr>
            </w:pPr>
            <w:r w:rsidRPr="003A2464">
              <w:rPr>
                <w:b/>
                <w:bCs/>
                <w:sz w:val="16"/>
                <w:szCs w:val="16"/>
              </w:rPr>
              <w:t>Contrattazione Integrativa</w:t>
            </w:r>
          </w:p>
        </w:tc>
        <w:tc>
          <w:tcPr>
            <w:tcW w:w="2277"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3A2464" w:rsidRPr="003A2464" w:rsidRDefault="003A2464" w:rsidP="003A2464">
            <w:pPr>
              <w:spacing w:line="140" w:lineRule="atLeast"/>
              <w:jc w:val="center"/>
              <w:rPr>
                <w:sz w:val="16"/>
                <w:szCs w:val="16"/>
              </w:rPr>
            </w:pPr>
            <w:r w:rsidRPr="003A2464">
              <w:rPr>
                <w:sz w:val="16"/>
                <w:szCs w:val="16"/>
              </w:rPr>
              <w:t>L.n.122/2010, art.67, c. 6</w:t>
            </w:r>
          </w:p>
          <w:p w:rsidR="003A2464" w:rsidRPr="003A2464" w:rsidRDefault="003A2464" w:rsidP="003A2464">
            <w:pPr>
              <w:spacing w:line="140" w:lineRule="atLeast"/>
              <w:jc w:val="center"/>
              <w:rPr>
                <w:sz w:val="16"/>
                <w:szCs w:val="16"/>
              </w:rPr>
            </w:pPr>
            <w:r w:rsidRPr="003A2464">
              <w:rPr>
                <w:sz w:val="16"/>
                <w:szCs w:val="16"/>
              </w:rPr>
              <w:t>Versamento relativo alla contrattazione integrativa</w:t>
            </w:r>
          </w:p>
        </w:tc>
        <w:tc>
          <w:tcPr>
            <w:tcW w:w="1423" w:type="dxa"/>
            <w:tcBorders>
              <w:top w:val="single" w:sz="4" w:space="0" w:color="auto"/>
              <w:left w:val="single" w:sz="4" w:space="0" w:color="auto"/>
              <w:bottom w:val="single" w:sz="4" w:space="0" w:color="auto"/>
              <w:right w:val="single" w:sz="4" w:space="0" w:color="auto"/>
            </w:tcBorders>
          </w:tcPr>
          <w:p w:rsidR="003A2464" w:rsidRPr="003A2464" w:rsidRDefault="003A2464" w:rsidP="003A2464">
            <w:pPr>
              <w:spacing w:line="140" w:lineRule="atLeast"/>
              <w:jc w:val="center"/>
              <w:rPr>
                <w:sz w:val="16"/>
                <w:szCs w:val="16"/>
              </w:rPr>
            </w:pPr>
          </w:p>
          <w:p w:rsidR="003A2464" w:rsidRPr="003A2464" w:rsidRDefault="003A2464" w:rsidP="003A2464">
            <w:pPr>
              <w:spacing w:line="140" w:lineRule="atLeast"/>
              <w:jc w:val="center"/>
              <w:rPr>
                <w:sz w:val="16"/>
                <w:szCs w:val="16"/>
              </w:rPr>
            </w:pPr>
            <w:r w:rsidRPr="003A2464">
              <w:rPr>
                <w:sz w:val="16"/>
                <w:szCs w:val="16"/>
              </w:rPr>
              <w:t>///</w:t>
            </w:r>
          </w:p>
        </w:tc>
        <w:tc>
          <w:tcPr>
            <w:tcW w:w="1303" w:type="dxa"/>
            <w:tcBorders>
              <w:top w:val="single" w:sz="4" w:space="0" w:color="auto"/>
              <w:left w:val="single" w:sz="4" w:space="0" w:color="auto"/>
              <w:bottom w:val="single" w:sz="4" w:space="0" w:color="auto"/>
              <w:right w:val="single" w:sz="4" w:space="0" w:color="auto"/>
            </w:tcBorders>
          </w:tcPr>
          <w:p w:rsidR="003A2464" w:rsidRPr="003A2464" w:rsidRDefault="003A2464" w:rsidP="003A2464">
            <w:pPr>
              <w:spacing w:line="140" w:lineRule="atLeast"/>
              <w:jc w:val="center"/>
              <w:rPr>
                <w:sz w:val="16"/>
                <w:szCs w:val="16"/>
              </w:rPr>
            </w:pPr>
          </w:p>
          <w:p w:rsidR="003A2464" w:rsidRPr="003A2464" w:rsidRDefault="003A2464" w:rsidP="003A2464">
            <w:pPr>
              <w:spacing w:line="140" w:lineRule="atLeast"/>
              <w:jc w:val="center"/>
            </w:pPr>
            <w:r w:rsidRPr="003A2464">
              <w:rPr>
                <w:sz w:val="16"/>
                <w:szCs w:val="16"/>
              </w:rPr>
              <w:t>99.000,00</w:t>
            </w:r>
          </w:p>
        </w:tc>
      </w:tr>
      <w:tr w:rsidR="00E15ABF" w:rsidRPr="008C4829" w:rsidTr="00E15ABF">
        <w:trPr>
          <w:trHeight w:val="20"/>
        </w:trPr>
        <w:tc>
          <w:tcPr>
            <w:tcW w:w="145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15ABF" w:rsidRPr="008C4829" w:rsidRDefault="000567D0" w:rsidP="00E3342C">
            <w:pPr>
              <w:spacing w:line="140" w:lineRule="atLeast"/>
              <w:jc w:val="center"/>
              <w:rPr>
                <w:b/>
                <w:bCs/>
                <w:color w:val="548DD4" w:themeColor="text2" w:themeTint="99"/>
                <w:sz w:val="16"/>
                <w:szCs w:val="16"/>
              </w:rPr>
            </w:pPr>
            <w:r w:rsidRPr="000567D0">
              <w:rPr>
                <w:b/>
                <w:bCs/>
                <w:sz w:val="16"/>
                <w:szCs w:val="16"/>
              </w:rPr>
              <w:t>TOTALE</w:t>
            </w:r>
          </w:p>
        </w:tc>
        <w:tc>
          <w:tcPr>
            <w:tcW w:w="2277"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E15ABF" w:rsidRPr="008C4829" w:rsidRDefault="00E15ABF" w:rsidP="00E3342C">
            <w:pPr>
              <w:spacing w:line="140" w:lineRule="atLeast"/>
              <w:jc w:val="center"/>
              <w:rPr>
                <w:color w:val="548DD4" w:themeColor="text2" w:themeTint="99"/>
                <w:sz w:val="16"/>
                <w:szCs w:val="16"/>
              </w:rPr>
            </w:pPr>
          </w:p>
        </w:tc>
        <w:tc>
          <w:tcPr>
            <w:tcW w:w="1423" w:type="dxa"/>
            <w:tcBorders>
              <w:top w:val="single" w:sz="4" w:space="0" w:color="auto"/>
              <w:left w:val="nil"/>
              <w:bottom w:val="single" w:sz="4" w:space="0" w:color="auto"/>
              <w:right w:val="single" w:sz="4" w:space="0" w:color="auto"/>
            </w:tcBorders>
            <w:vAlign w:val="center"/>
          </w:tcPr>
          <w:p w:rsidR="00E15ABF" w:rsidRPr="008C4829" w:rsidRDefault="00E15ABF" w:rsidP="00E3342C">
            <w:pPr>
              <w:spacing w:line="140" w:lineRule="atLeast"/>
              <w:jc w:val="center"/>
              <w:rPr>
                <w:color w:val="548DD4" w:themeColor="text2" w:themeTint="99"/>
                <w:sz w:val="16"/>
                <w:szCs w:val="16"/>
              </w:rPr>
            </w:pPr>
          </w:p>
        </w:tc>
        <w:tc>
          <w:tcPr>
            <w:tcW w:w="1303" w:type="dxa"/>
            <w:tcBorders>
              <w:top w:val="single" w:sz="4" w:space="0" w:color="auto"/>
              <w:left w:val="single" w:sz="4" w:space="0" w:color="auto"/>
              <w:bottom w:val="single" w:sz="4" w:space="0" w:color="auto"/>
              <w:right w:val="single" w:sz="4" w:space="0" w:color="auto"/>
            </w:tcBorders>
          </w:tcPr>
          <w:p w:rsidR="000567D0" w:rsidRDefault="000567D0" w:rsidP="00E3342C">
            <w:pPr>
              <w:spacing w:line="140" w:lineRule="atLeast"/>
              <w:jc w:val="center"/>
            </w:pPr>
          </w:p>
          <w:p w:rsidR="00E15ABF" w:rsidRPr="000567D0" w:rsidRDefault="000567D0" w:rsidP="00E3342C">
            <w:pPr>
              <w:spacing w:line="140" w:lineRule="atLeast"/>
              <w:jc w:val="center"/>
            </w:pPr>
            <w:r w:rsidRPr="000567D0">
              <w:t>172.847,00</w:t>
            </w:r>
          </w:p>
          <w:p w:rsidR="00E15ABF" w:rsidRPr="008C4829" w:rsidRDefault="00E15ABF" w:rsidP="00E3342C">
            <w:pPr>
              <w:spacing w:line="140" w:lineRule="atLeast"/>
              <w:jc w:val="center"/>
              <w:rPr>
                <w:b/>
                <w:color w:val="548DD4" w:themeColor="text2" w:themeTint="99"/>
              </w:rPr>
            </w:pPr>
          </w:p>
        </w:tc>
      </w:tr>
    </w:tbl>
    <w:p w:rsidR="0023118B" w:rsidRDefault="0023118B" w:rsidP="00BB282E">
      <w:pPr>
        <w:jc w:val="both"/>
        <w:rPr>
          <w:b/>
          <w:color w:val="548DD4" w:themeColor="text2" w:themeTint="99"/>
          <w:sz w:val="24"/>
          <w:szCs w:val="24"/>
        </w:rPr>
      </w:pPr>
    </w:p>
    <w:p w:rsidR="00D81F1C" w:rsidRDefault="00D81F1C" w:rsidP="00BB282E">
      <w:pPr>
        <w:jc w:val="both"/>
        <w:rPr>
          <w:b/>
          <w:color w:val="548DD4" w:themeColor="text2" w:themeTint="99"/>
          <w:sz w:val="24"/>
          <w:szCs w:val="24"/>
        </w:rPr>
      </w:pPr>
    </w:p>
    <w:p w:rsidR="00D81F1C" w:rsidRPr="00D81F1C" w:rsidRDefault="00D81F1C" w:rsidP="00BB282E">
      <w:pPr>
        <w:jc w:val="both"/>
        <w:rPr>
          <w:sz w:val="24"/>
          <w:szCs w:val="24"/>
        </w:rPr>
      </w:pPr>
      <w:r>
        <w:rPr>
          <w:b/>
          <w:color w:val="548DD4" w:themeColor="text2" w:themeTint="99"/>
          <w:sz w:val="24"/>
          <w:szCs w:val="24"/>
        </w:rPr>
        <w:t xml:space="preserve">     </w:t>
      </w:r>
      <w:r w:rsidRPr="00D81F1C">
        <w:rPr>
          <w:smallCaps/>
          <w:sz w:val="24"/>
          <w:szCs w:val="24"/>
        </w:rPr>
        <w:t>Il responsabile del Settore</w:t>
      </w:r>
      <w:r w:rsidRPr="00D81F1C">
        <w:rPr>
          <w:smallCaps/>
          <w:sz w:val="24"/>
          <w:szCs w:val="24"/>
        </w:rPr>
        <w:tab/>
      </w:r>
      <w:r w:rsidRPr="00D81F1C">
        <w:rPr>
          <w:sz w:val="24"/>
          <w:szCs w:val="24"/>
        </w:rPr>
        <w:tab/>
      </w:r>
      <w:r w:rsidRPr="00D81F1C">
        <w:rPr>
          <w:sz w:val="24"/>
          <w:szCs w:val="24"/>
        </w:rPr>
        <w:tab/>
      </w:r>
      <w:r w:rsidRPr="00D81F1C">
        <w:rPr>
          <w:sz w:val="24"/>
          <w:szCs w:val="24"/>
        </w:rPr>
        <w:tab/>
        <w:t xml:space="preserve">       </w:t>
      </w:r>
      <w:r w:rsidR="00BC0324">
        <w:rPr>
          <w:sz w:val="24"/>
          <w:szCs w:val="24"/>
        </w:rPr>
        <w:t xml:space="preserve">    </w:t>
      </w:r>
      <w:r w:rsidRPr="00D81F1C">
        <w:rPr>
          <w:smallCaps/>
          <w:sz w:val="24"/>
          <w:szCs w:val="24"/>
        </w:rPr>
        <w:t>Il Direttore Generale</w:t>
      </w:r>
    </w:p>
    <w:p w:rsidR="00D81F1C" w:rsidRPr="00D81F1C" w:rsidRDefault="00D81F1C" w:rsidP="00BB282E">
      <w:pPr>
        <w:jc w:val="both"/>
        <w:rPr>
          <w:sz w:val="24"/>
          <w:szCs w:val="24"/>
        </w:rPr>
      </w:pPr>
      <w:r w:rsidRPr="00D81F1C">
        <w:rPr>
          <w:sz w:val="24"/>
          <w:szCs w:val="24"/>
        </w:rPr>
        <w:t xml:space="preserve">     </w:t>
      </w:r>
      <w:r w:rsidR="00BC0324">
        <w:rPr>
          <w:sz w:val="24"/>
          <w:szCs w:val="24"/>
        </w:rPr>
        <w:t>d</w:t>
      </w:r>
      <w:r w:rsidRPr="00D81F1C">
        <w:rPr>
          <w:sz w:val="24"/>
          <w:szCs w:val="24"/>
        </w:rPr>
        <w:t xml:space="preserve">ott.ssa Emilia TRENTADUE </w:t>
      </w:r>
      <w:r w:rsidRPr="00D81F1C">
        <w:rPr>
          <w:sz w:val="24"/>
          <w:szCs w:val="24"/>
        </w:rPr>
        <w:tab/>
      </w:r>
      <w:r w:rsidRPr="00D81F1C">
        <w:rPr>
          <w:sz w:val="24"/>
          <w:szCs w:val="24"/>
        </w:rPr>
        <w:tab/>
      </w:r>
      <w:r w:rsidRPr="00D81F1C">
        <w:rPr>
          <w:sz w:val="24"/>
          <w:szCs w:val="24"/>
        </w:rPr>
        <w:tab/>
      </w:r>
      <w:r w:rsidRPr="00D81F1C">
        <w:rPr>
          <w:sz w:val="24"/>
          <w:szCs w:val="24"/>
        </w:rPr>
        <w:tab/>
        <w:t xml:space="preserve">   </w:t>
      </w:r>
      <w:r w:rsidR="00BC0324">
        <w:rPr>
          <w:sz w:val="24"/>
          <w:szCs w:val="24"/>
        </w:rPr>
        <w:t xml:space="preserve">dott. </w:t>
      </w:r>
      <w:r w:rsidRPr="00D81F1C">
        <w:rPr>
          <w:sz w:val="24"/>
          <w:szCs w:val="24"/>
        </w:rPr>
        <w:t>Crescenzo Antonio MARINO</w:t>
      </w:r>
    </w:p>
    <w:sectPr w:rsidR="00D81F1C" w:rsidRPr="00D81F1C" w:rsidSect="00117F9B">
      <w:headerReference w:type="default" r:id="rId9"/>
      <w:footerReference w:type="even" r:id="rId10"/>
      <w:footerReference w:type="default" r:id="rId11"/>
      <w:headerReference w:type="first" r:id="rId12"/>
      <w:footerReference w:type="first" r:id="rId13"/>
      <w:type w:val="continuous"/>
      <w:pgSz w:w="11907" w:h="16840" w:code="9"/>
      <w:pgMar w:top="1134" w:right="1134" w:bottom="1134" w:left="1134" w:header="720" w:footer="43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181" w:rsidRDefault="00DC5181">
      <w:r>
        <w:separator/>
      </w:r>
    </w:p>
  </w:endnote>
  <w:endnote w:type="continuationSeparator" w:id="0">
    <w:p w:rsidR="00DC5181" w:rsidRDefault="00DC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Tahom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05" w:rsidRDefault="00A26F0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26F05" w:rsidRDefault="00A26F0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05" w:rsidRDefault="00A26F05">
    <w:pPr>
      <w:pStyle w:val="Pidipagina"/>
    </w:pPr>
    <w:r>
      <w:tab/>
    </w:r>
    <w:r>
      <w:tab/>
    </w:r>
    <w:r>
      <w:rPr>
        <w:i/>
      </w:rPr>
      <w:t xml:space="preserve">Pag. </w:t>
    </w:r>
    <w:r>
      <w:rPr>
        <w:rStyle w:val="Numeropagina"/>
        <w:i/>
      </w:rPr>
      <w:fldChar w:fldCharType="begin"/>
    </w:r>
    <w:r>
      <w:rPr>
        <w:rStyle w:val="Numeropagina"/>
        <w:i/>
      </w:rPr>
      <w:instrText xml:space="preserve"> PAGE </w:instrText>
    </w:r>
    <w:r>
      <w:rPr>
        <w:rStyle w:val="Numeropagina"/>
        <w:i/>
      </w:rPr>
      <w:fldChar w:fldCharType="separate"/>
    </w:r>
    <w:r w:rsidR="00D51C30">
      <w:rPr>
        <w:rStyle w:val="Numeropagina"/>
        <w:i/>
        <w:noProof/>
      </w:rPr>
      <w:t>27</w:t>
    </w:r>
    <w:r>
      <w:rPr>
        <w:rStyle w:val="Numeropagina"/>
        <w:i/>
      </w:rPr>
      <w:fldChar w:fldCharType="end"/>
    </w:r>
    <w:r>
      <w:rPr>
        <w:rStyle w:val="Numeropagina"/>
        <w:i/>
      </w:rPr>
      <w:t xml:space="preserve"> di </w:t>
    </w:r>
    <w:r>
      <w:rPr>
        <w:rStyle w:val="Numeropagina"/>
        <w:i/>
      </w:rPr>
      <w:fldChar w:fldCharType="begin"/>
    </w:r>
    <w:r>
      <w:rPr>
        <w:rStyle w:val="Numeropagina"/>
        <w:i/>
      </w:rPr>
      <w:instrText xml:space="preserve"> NUMPAGES </w:instrText>
    </w:r>
    <w:r>
      <w:rPr>
        <w:rStyle w:val="Numeropagina"/>
        <w:i/>
      </w:rPr>
      <w:fldChar w:fldCharType="separate"/>
    </w:r>
    <w:r w:rsidR="00D51C30">
      <w:rPr>
        <w:rStyle w:val="Numeropagina"/>
        <w:i/>
        <w:noProof/>
      </w:rPr>
      <w:t>27</w:t>
    </w:r>
    <w:r>
      <w:rPr>
        <w:rStyle w:val="Numeropagina"/>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05" w:rsidRDefault="00A26F05">
    <w:pPr>
      <w:pStyle w:val="Pidipagina"/>
      <w:jc w:val="center"/>
    </w:pPr>
    <w:r>
      <w:fldChar w:fldCharType="begin"/>
    </w:r>
    <w:r>
      <w:instrText>PAGE   \* MERGEFORMAT</w:instrText>
    </w:r>
    <w:r>
      <w:fldChar w:fldCharType="separate"/>
    </w:r>
    <w:r w:rsidR="00D51C30">
      <w:rPr>
        <w:noProof/>
      </w:rPr>
      <w:t>1</w:t>
    </w:r>
    <w:r>
      <w:fldChar w:fldCharType="end"/>
    </w:r>
  </w:p>
  <w:p w:rsidR="00A26F05" w:rsidRDefault="00A26F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181" w:rsidRDefault="00DC5181">
      <w:r>
        <w:separator/>
      </w:r>
    </w:p>
  </w:footnote>
  <w:footnote w:type="continuationSeparator" w:id="0">
    <w:p w:rsidR="00DC5181" w:rsidRDefault="00DC5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05" w:rsidRDefault="00A26F05" w:rsidP="00117F9B">
    <w:pPr>
      <w:pStyle w:val="Intestazione"/>
      <w:jc w:val="center"/>
      <w:rPr>
        <w:b/>
        <w:color w:val="008080"/>
        <w:sz w:val="28"/>
      </w:rPr>
    </w:pPr>
    <w:r>
      <w:rPr>
        <w:noProof/>
      </w:rPr>
      <w:drawing>
        <wp:inline distT="0" distB="0" distL="0" distR="0" wp14:anchorId="23B8445A" wp14:editId="6F22EBF6">
          <wp:extent cx="603850" cy="590723"/>
          <wp:effectExtent l="0" t="0" r="6350" b="0"/>
          <wp:docPr id="1" name="Immagine 1" descr="Po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355" cy="594152"/>
                  </a:xfrm>
                  <a:prstGeom prst="rect">
                    <a:avLst/>
                  </a:prstGeom>
                  <a:noFill/>
                  <a:ln>
                    <a:noFill/>
                  </a:ln>
                </pic:spPr>
              </pic:pic>
            </a:graphicData>
          </a:graphic>
        </wp:inline>
      </w:drawing>
    </w:r>
  </w:p>
  <w:p w:rsidR="00A26F05" w:rsidRDefault="00A26F05" w:rsidP="00117F9B">
    <w:pPr>
      <w:pStyle w:val="Intestazione"/>
      <w:jc w:val="center"/>
      <w:rPr>
        <w:b/>
        <w:color w:val="008080"/>
        <w:sz w:val="28"/>
      </w:rPr>
    </w:pPr>
    <w:r>
      <w:rPr>
        <w:b/>
        <w:color w:val="008080"/>
        <w:sz w:val="28"/>
      </w:rPr>
      <w:t>POLITECNICO DI BARI</w:t>
    </w:r>
  </w:p>
  <w:p w:rsidR="00A26F05" w:rsidRPr="00BF03B3" w:rsidRDefault="00A26F05" w:rsidP="00117F9B">
    <w:pPr>
      <w:pStyle w:val="Intestazione"/>
      <w:jc w:val="center"/>
      <w:rPr>
        <w:b/>
        <w:color w:val="008080"/>
        <w:sz w:val="18"/>
        <w:szCs w:val="18"/>
      </w:rPr>
    </w:pPr>
  </w:p>
  <w:p w:rsidR="00A26F05" w:rsidRDefault="00A26F05" w:rsidP="00117F9B">
    <w:pPr>
      <w:pStyle w:val="Pidipagina"/>
      <w:tabs>
        <w:tab w:val="clear" w:pos="4819"/>
        <w:tab w:val="clear" w:pos="9638"/>
        <w:tab w:val="left" w:pos="4536"/>
      </w:tabs>
      <w:jc w:val="center"/>
      <w:rPr>
        <w:smallCaps/>
        <w:color w:val="008080"/>
      </w:rPr>
    </w:pPr>
    <w:r>
      <w:rPr>
        <w:smallCaps/>
        <w:color w:val="008080"/>
      </w:rPr>
      <w:t>Direzione Gestione Risorse e Servizi Istituzionali</w:t>
    </w:r>
  </w:p>
  <w:p w:rsidR="00A26F05" w:rsidRDefault="00A26F05" w:rsidP="00117F9B">
    <w:pPr>
      <w:pStyle w:val="Intestazione"/>
      <w:jc w:val="center"/>
    </w:pPr>
    <w:r>
      <w:rPr>
        <w:i/>
        <w:color w:val="008080"/>
        <w:sz w:val="22"/>
        <w:szCs w:val="22"/>
      </w:rPr>
      <w:t>Settore Risorse Finanziarie</w:t>
    </w:r>
  </w:p>
  <w:p w:rsidR="00A26F05" w:rsidRPr="00117F9B" w:rsidRDefault="00A26F05" w:rsidP="00117F9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05" w:rsidRDefault="00A26F05">
    <w:pPr>
      <w:pStyle w:val="Intestazione"/>
    </w:pPr>
    <w:r>
      <w:rPr>
        <w:noProof/>
      </w:rPr>
      <w:t xml:space="preserve">                                                                                    </w:t>
    </w:r>
    <w:r>
      <w:rPr>
        <w:noProof/>
      </w:rPr>
      <w:drawing>
        <wp:inline distT="0" distB="0" distL="0" distR="0" wp14:anchorId="673D78A5" wp14:editId="3C4A46C1">
          <wp:extent cx="603850" cy="590723"/>
          <wp:effectExtent l="0" t="0" r="6350" b="0"/>
          <wp:docPr id="2" name="Immagine 2" descr="Po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355" cy="594152"/>
                  </a:xfrm>
                  <a:prstGeom prst="rect">
                    <a:avLst/>
                  </a:prstGeom>
                  <a:noFill/>
                  <a:ln>
                    <a:noFill/>
                  </a:ln>
                </pic:spPr>
              </pic:pic>
            </a:graphicData>
          </a:graphic>
        </wp:inline>
      </w:drawing>
    </w:r>
  </w:p>
  <w:p w:rsidR="00A26F05" w:rsidRDefault="00A26F05" w:rsidP="00E07BF6">
    <w:pPr>
      <w:pStyle w:val="Intestazione"/>
      <w:jc w:val="center"/>
      <w:rPr>
        <w:b/>
        <w:color w:val="008080"/>
        <w:sz w:val="28"/>
      </w:rPr>
    </w:pPr>
    <w:r>
      <w:rPr>
        <w:b/>
        <w:color w:val="008080"/>
        <w:sz w:val="28"/>
      </w:rPr>
      <w:t>POLITECNICO DI BARI</w:t>
    </w:r>
  </w:p>
  <w:p w:rsidR="00A26F05" w:rsidRDefault="00A26F05" w:rsidP="00E07BF6">
    <w:pPr>
      <w:pStyle w:val="Pidipagina"/>
      <w:tabs>
        <w:tab w:val="clear" w:pos="4819"/>
        <w:tab w:val="clear" w:pos="9638"/>
        <w:tab w:val="left" w:pos="4536"/>
      </w:tabs>
      <w:jc w:val="center"/>
      <w:rPr>
        <w:smallCaps/>
        <w:color w:val="008080"/>
      </w:rPr>
    </w:pPr>
    <w:r>
      <w:rPr>
        <w:smallCaps/>
        <w:color w:val="008080"/>
      </w:rPr>
      <w:t>Direzione Gestione Risorse e Servizi Istituzionali</w:t>
    </w:r>
  </w:p>
  <w:p w:rsidR="00A26F05" w:rsidRDefault="00A26F05" w:rsidP="00E07BF6">
    <w:pPr>
      <w:pStyle w:val="Intestazione"/>
      <w:jc w:val="center"/>
    </w:pPr>
    <w:r>
      <w:rPr>
        <w:i/>
        <w:color w:val="008080"/>
        <w:sz w:val="22"/>
        <w:szCs w:val="22"/>
      </w:rPr>
      <w:t>Settore Risorse Finanziarie</w:t>
    </w:r>
  </w:p>
  <w:p w:rsidR="00A26F05" w:rsidRDefault="00A26F05">
    <w:pPr>
      <w:pStyle w:val="Intestazione"/>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13DF"/>
    <w:multiLevelType w:val="hybridMultilevel"/>
    <w:tmpl w:val="2B70B698"/>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1F287912"/>
    <w:multiLevelType w:val="hybridMultilevel"/>
    <w:tmpl w:val="D3945D64"/>
    <w:lvl w:ilvl="0" w:tplc="22A443B0">
      <w:start w:val="1"/>
      <w:numFmt w:val="decimal"/>
      <w:lvlText w:val="%1."/>
      <w:lvlJc w:val="left"/>
      <w:pPr>
        <w:ind w:left="360" w:hanging="360"/>
      </w:pPr>
      <w:rPr>
        <w:rFonts w:hint="default"/>
      </w:rPr>
    </w:lvl>
    <w:lvl w:ilvl="1" w:tplc="04100003" w:tentative="1">
      <w:start w:val="1"/>
      <w:numFmt w:val="bullet"/>
      <w:lvlText w:val="o"/>
      <w:lvlJc w:val="left"/>
      <w:pPr>
        <w:ind w:left="-687" w:hanging="360"/>
      </w:pPr>
      <w:rPr>
        <w:rFonts w:ascii="Courier New" w:hAnsi="Courier New" w:cs="Courier New" w:hint="default"/>
      </w:rPr>
    </w:lvl>
    <w:lvl w:ilvl="2" w:tplc="04100005" w:tentative="1">
      <w:start w:val="1"/>
      <w:numFmt w:val="bullet"/>
      <w:lvlText w:val=""/>
      <w:lvlJc w:val="left"/>
      <w:pPr>
        <w:ind w:left="33" w:hanging="360"/>
      </w:pPr>
      <w:rPr>
        <w:rFonts w:ascii="Wingdings" w:hAnsi="Wingdings" w:hint="default"/>
      </w:rPr>
    </w:lvl>
    <w:lvl w:ilvl="3" w:tplc="04100001" w:tentative="1">
      <w:start w:val="1"/>
      <w:numFmt w:val="bullet"/>
      <w:lvlText w:val=""/>
      <w:lvlJc w:val="left"/>
      <w:pPr>
        <w:ind w:left="753" w:hanging="360"/>
      </w:pPr>
      <w:rPr>
        <w:rFonts w:ascii="Symbol" w:hAnsi="Symbol" w:hint="default"/>
      </w:rPr>
    </w:lvl>
    <w:lvl w:ilvl="4" w:tplc="04100003" w:tentative="1">
      <w:start w:val="1"/>
      <w:numFmt w:val="bullet"/>
      <w:lvlText w:val="o"/>
      <w:lvlJc w:val="left"/>
      <w:pPr>
        <w:ind w:left="1473" w:hanging="360"/>
      </w:pPr>
      <w:rPr>
        <w:rFonts w:ascii="Courier New" w:hAnsi="Courier New" w:cs="Courier New" w:hint="default"/>
      </w:rPr>
    </w:lvl>
    <w:lvl w:ilvl="5" w:tplc="04100005" w:tentative="1">
      <w:start w:val="1"/>
      <w:numFmt w:val="bullet"/>
      <w:lvlText w:val=""/>
      <w:lvlJc w:val="left"/>
      <w:pPr>
        <w:ind w:left="2193" w:hanging="360"/>
      </w:pPr>
      <w:rPr>
        <w:rFonts w:ascii="Wingdings" w:hAnsi="Wingdings" w:hint="default"/>
      </w:rPr>
    </w:lvl>
    <w:lvl w:ilvl="6" w:tplc="04100001" w:tentative="1">
      <w:start w:val="1"/>
      <w:numFmt w:val="bullet"/>
      <w:lvlText w:val=""/>
      <w:lvlJc w:val="left"/>
      <w:pPr>
        <w:ind w:left="2913" w:hanging="360"/>
      </w:pPr>
      <w:rPr>
        <w:rFonts w:ascii="Symbol" w:hAnsi="Symbol" w:hint="default"/>
      </w:rPr>
    </w:lvl>
    <w:lvl w:ilvl="7" w:tplc="04100003" w:tentative="1">
      <w:start w:val="1"/>
      <w:numFmt w:val="bullet"/>
      <w:lvlText w:val="o"/>
      <w:lvlJc w:val="left"/>
      <w:pPr>
        <w:ind w:left="3633" w:hanging="360"/>
      </w:pPr>
      <w:rPr>
        <w:rFonts w:ascii="Courier New" w:hAnsi="Courier New" w:cs="Courier New" w:hint="default"/>
      </w:rPr>
    </w:lvl>
    <w:lvl w:ilvl="8" w:tplc="04100005" w:tentative="1">
      <w:start w:val="1"/>
      <w:numFmt w:val="bullet"/>
      <w:lvlText w:val=""/>
      <w:lvlJc w:val="left"/>
      <w:pPr>
        <w:ind w:left="4353" w:hanging="360"/>
      </w:pPr>
      <w:rPr>
        <w:rFonts w:ascii="Wingdings" w:hAnsi="Wingdings" w:hint="default"/>
      </w:rPr>
    </w:lvl>
  </w:abstractNum>
  <w:abstractNum w:abstractNumId="2">
    <w:nsid w:val="28462EFB"/>
    <w:multiLevelType w:val="hybridMultilevel"/>
    <w:tmpl w:val="BA6678B4"/>
    <w:lvl w:ilvl="0" w:tplc="C0B0D35A">
      <w:start w:val="2"/>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nsid w:val="30E623C3"/>
    <w:multiLevelType w:val="hybridMultilevel"/>
    <w:tmpl w:val="73F01A6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4A5E4985"/>
    <w:multiLevelType w:val="hybridMultilevel"/>
    <w:tmpl w:val="E85A5A0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77107426"/>
    <w:multiLevelType w:val="hybridMultilevel"/>
    <w:tmpl w:val="6B201C9E"/>
    <w:lvl w:ilvl="0" w:tplc="04100015">
      <w:start w:val="1"/>
      <w:numFmt w:val="upp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3"/>
  </w:num>
  <w:num w:numId="2">
    <w:abstractNumId w:val="0"/>
  </w:num>
  <w:num w:numId="3">
    <w:abstractNumId w:val="4"/>
  </w:num>
  <w:num w:numId="4">
    <w:abstractNumId w:val="2"/>
  </w:num>
  <w:num w:numId="5">
    <w:abstractNumId w:val="1"/>
  </w:num>
  <w:num w:numId="6">
    <w:abstractNumId w:val="1"/>
    <w:lvlOverride w:ilvl="0">
      <w:startOverride w:val="1"/>
    </w:lvlOverride>
  </w:num>
  <w:num w:numId="7">
    <w:abstractNumId w:val="5"/>
  </w:num>
  <w:num w:numId="8">
    <w:abstractNumId w:val="1"/>
    <w:lvlOverride w:ilvl="0">
      <w:startOverride w:val="1"/>
    </w:lvlOverride>
  </w:num>
  <w:num w:numId="9">
    <w:abstractNumId w:val="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37"/>
    <w:rsid w:val="00002590"/>
    <w:rsid w:val="0000361F"/>
    <w:rsid w:val="00003C87"/>
    <w:rsid w:val="00014F61"/>
    <w:rsid w:val="00015B2E"/>
    <w:rsid w:val="00023F6B"/>
    <w:rsid w:val="00027937"/>
    <w:rsid w:val="0003034C"/>
    <w:rsid w:val="00033C22"/>
    <w:rsid w:val="00037948"/>
    <w:rsid w:val="00037966"/>
    <w:rsid w:val="00040A0A"/>
    <w:rsid w:val="00044773"/>
    <w:rsid w:val="0004544E"/>
    <w:rsid w:val="00046CCE"/>
    <w:rsid w:val="000503D0"/>
    <w:rsid w:val="00050A7B"/>
    <w:rsid w:val="000548A5"/>
    <w:rsid w:val="000562C4"/>
    <w:rsid w:val="000567D0"/>
    <w:rsid w:val="000573A2"/>
    <w:rsid w:val="00063C34"/>
    <w:rsid w:val="00076645"/>
    <w:rsid w:val="00076C41"/>
    <w:rsid w:val="0008188B"/>
    <w:rsid w:val="00083689"/>
    <w:rsid w:val="00084954"/>
    <w:rsid w:val="000859AE"/>
    <w:rsid w:val="00095D8A"/>
    <w:rsid w:val="000B5594"/>
    <w:rsid w:val="000C27A1"/>
    <w:rsid w:val="000C6106"/>
    <w:rsid w:val="000D04BE"/>
    <w:rsid w:val="000D08EA"/>
    <w:rsid w:val="000D2E95"/>
    <w:rsid w:val="000E11E7"/>
    <w:rsid w:val="000E14D8"/>
    <w:rsid w:val="000E3330"/>
    <w:rsid w:val="000E3748"/>
    <w:rsid w:val="000E3D3F"/>
    <w:rsid w:val="000E43C2"/>
    <w:rsid w:val="000E4472"/>
    <w:rsid w:val="000E4A35"/>
    <w:rsid w:val="000E587D"/>
    <w:rsid w:val="000E5D70"/>
    <w:rsid w:val="000F2E33"/>
    <w:rsid w:val="000F3BF7"/>
    <w:rsid w:val="000F632D"/>
    <w:rsid w:val="00100112"/>
    <w:rsid w:val="00103045"/>
    <w:rsid w:val="00104657"/>
    <w:rsid w:val="00107A97"/>
    <w:rsid w:val="001108F0"/>
    <w:rsid w:val="00111F3B"/>
    <w:rsid w:val="00113B01"/>
    <w:rsid w:val="00117F9B"/>
    <w:rsid w:val="00122267"/>
    <w:rsid w:val="0012550E"/>
    <w:rsid w:val="0012764E"/>
    <w:rsid w:val="00135A6F"/>
    <w:rsid w:val="001408DF"/>
    <w:rsid w:val="001410F2"/>
    <w:rsid w:val="0014213B"/>
    <w:rsid w:val="001431FF"/>
    <w:rsid w:val="001453E8"/>
    <w:rsid w:val="00155ADD"/>
    <w:rsid w:val="00156F79"/>
    <w:rsid w:val="00162C28"/>
    <w:rsid w:val="001637D4"/>
    <w:rsid w:val="00165FD7"/>
    <w:rsid w:val="00167622"/>
    <w:rsid w:val="00170ECE"/>
    <w:rsid w:val="0017283F"/>
    <w:rsid w:val="001738D0"/>
    <w:rsid w:val="00175BCC"/>
    <w:rsid w:val="00180611"/>
    <w:rsid w:val="001819B7"/>
    <w:rsid w:val="00182439"/>
    <w:rsid w:val="00190B6A"/>
    <w:rsid w:val="00195AFA"/>
    <w:rsid w:val="00195EC7"/>
    <w:rsid w:val="00197676"/>
    <w:rsid w:val="00197B09"/>
    <w:rsid w:val="001A2612"/>
    <w:rsid w:val="001A333D"/>
    <w:rsid w:val="001A5841"/>
    <w:rsid w:val="001B1DF9"/>
    <w:rsid w:val="001B2811"/>
    <w:rsid w:val="001B5CF9"/>
    <w:rsid w:val="001B62A4"/>
    <w:rsid w:val="001B6DC5"/>
    <w:rsid w:val="001C13CE"/>
    <w:rsid w:val="001C47D1"/>
    <w:rsid w:val="001C4B47"/>
    <w:rsid w:val="001D05EA"/>
    <w:rsid w:val="001D3DD3"/>
    <w:rsid w:val="001D5A58"/>
    <w:rsid w:val="001F36A6"/>
    <w:rsid w:val="001F4284"/>
    <w:rsid w:val="001F636F"/>
    <w:rsid w:val="001F6D98"/>
    <w:rsid w:val="00202AEA"/>
    <w:rsid w:val="00202F64"/>
    <w:rsid w:val="002053EB"/>
    <w:rsid w:val="0020773D"/>
    <w:rsid w:val="00212E5E"/>
    <w:rsid w:val="00215C8A"/>
    <w:rsid w:val="0021726E"/>
    <w:rsid w:val="00221B0D"/>
    <w:rsid w:val="00222D99"/>
    <w:rsid w:val="002233F5"/>
    <w:rsid w:val="0022779B"/>
    <w:rsid w:val="00227B2C"/>
    <w:rsid w:val="0023118B"/>
    <w:rsid w:val="002411DE"/>
    <w:rsid w:val="00241AB7"/>
    <w:rsid w:val="0024346C"/>
    <w:rsid w:val="00245576"/>
    <w:rsid w:val="0024682F"/>
    <w:rsid w:val="00252C0D"/>
    <w:rsid w:val="00253A8D"/>
    <w:rsid w:val="00256899"/>
    <w:rsid w:val="002569FE"/>
    <w:rsid w:val="00261F41"/>
    <w:rsid w:val="002633A6"/>
    <w:rsid w:val="00263DDE"/>
    <w:rsid w:val="002653BC"/>
    <w:rsid w:val="002657E7"/>
    <w:rsid w:val="0026588B"/>
    <w:rsid w:val="00265A55"/>
    <w:rsid w:val="00265E3A"/>
    <w:rsid w:val="00267B7E"/>
    <w:rsid w:val="002702B2"/>
    <w:rsid w:val="00271F6F"/>
    <w:rsid w:val="0028149A"/>
    <w:rsid w:val="00281874"/>
    <w:rsid w:val="00286559"/>
    <w:rsid w:val="00294299"/>
    <w:rsid w:val="00294EF4"/>
    <w:rsid w:val="0029531C"/>
    <w:rsid w:val="002A5037"/>
    <w:rsid w:val="002A7646"/>
    <w:rsid w:val="002B0980"/>
    <w:rsid w:val="002B179C"/>
    <w:rsid w:val="002B2E5D"/>
    <w:rsid w:val="002B4C60"/>
    <w:rsid w:val="002B5C98"/>
    <w:rsid w:val="002C03AE"/>
    <w:rsid w:val="002C0AB2"/>
    <w:rsid w:val="002C0B38"/>
    <w:rsid w:val="002C284F"/>
    <w:rsid w:val="002C4A38"/>
    <w:rsid w:val="002C65D1"/>
    <w:rsid w:val="002D149B"/>
    <w:rsid w:val="002D46B0"/>
    <w:rsid w:val="002D5DDE"/>
    <w:rsid w:val="002D7C8B"/>
    <w:rsid w:val="002E108B"/>
    <w:rsid w:val="002E15B6"/>
    <w:rsid w:val="002E2974"/>
    <w:rsid w:val="002F5D29"/>
    <w:rsid w:val="002F64A1"/>
    <w:rsid w:val="002F7B4F"/>
    <w:rsid w:val="00304064"/>
    <w:rsid w:val="0030506D"/>
    <w:rsid w:val="00306E0A"/>
    <w:rsid w:val="00307117"/>
    <w:rsid w:val="00307975"/>
    <w:rsid w:val="003113E2"/>
    <w:rsid w:val="00314CAF"/>
    <w:rsid w:val="00320EBA"/>
    <w:rsid w:val="00322A9D"/>
    <w:rsid w:val="00324445"/>
    <w:rsid w:val="00325972"/>
    <w:rsid w:val="0033095C"/>
    <w:rsid w:val="003309E3"/>
    <w:rsid w:val="00332988"/>
    <w:rsid w:val="003406A7"/>
    <w:rsid w:val="0034172D"/>
    <w:rsid w:val="003429F2"/>
    <w:rsid w:val="00345BD5"/>
    <w:rsid w:val="0035392C"/>
    <w:rsid w:val="003618CF"/>
    <w:rsid w:val="00361F06"/>
    <w:rsid w:val="00365E69"/>
    <w:rsid w:val="003749BB"/>
    <w:rsid w:val="00380122"/>
    <w:rsid w:val="0038061B"/>
    <w:rsid w:val="00386A35"/>
    <w:rsid w:val="00391559"/>
    <w:rsid w:val="003950A0"/>
    <w:rsid w:val="003A11D2"/>
    <w:rsid w:val="003A2464"/>
    <w:rsid w:val="003A2F65"/>
    <w:rsid w:val="003A310D"/>
    <w:rsid w:val="003B0B64"/>
    <w:rsid w:val="003B3076"/>
    <w:rsid w:val="003B5794"/>
    <w:rsid w:val="003C07F7"/>
    <w:rsid w:val="003C0CB3"/>
    <w:rsid w:val="003C29A0"/>
    <w:rsid w:val="003C7A87"/>
    <w:rsid w:val="003D36DB"/>
    <w:rsid w:val="003D4FB3"/>
    <w:rsid w:val="003E2057"/>
    <w:rsid w:val="003E3117"/>
    <w:rsid w:val="003E553A"/>
    <w:rsid w:val="003E5B34"/>
    <w:rsid w:val="003E6052"/>
    <w:rsid w:val="003F2B81"/>
    <w:rsid w:val="003F4578"/>
    <w:rsid w:val="003F74B4"/>
    <w:rsid w:val="00402C8F"/>
    <w:rsid w:val="004070F8"/>
    <w:rsid w:val="00411087"/>
    <w:rsid w:val="00412FB8"/>
    <w:rsid w:val="00413F14"/>
    <w:rsid w:val="00414D39"/>
    <w:rsid w:val="0042098A"/>
    <w:rsid w:val="00424C82"/>
    <w:rsid w:val="0043169C"/>
    <w:rsid w:val="00431D30"/>
    <w:rsid w:val="00433782"/>
    <w:rsid w:val="0043410E"/>
    <w:rsid w:val="00434D40"/>
    <w:rsid w:val="004367A6"/>
    <w:rsid w:val="0044110C"/>
    <w:rsid w:val="0044202F"/>
    <w:rsid w:val="00443506"/>
    <w:rsid w:val="0044551E"/>
    <w:rsid w:val="00445585"/>
    <w:rsid w:val="00447041"/>
    <w:rsid w:val="0045022C"/>
    <w:rsid w:val="0045082A"/>
    <w:rsid w:val="00453C3C"/>
    <w:rsid w:val="004557C7"/>
    <w:rsid w:val="00457244"/>
    <w:rsid w:val="00463979"/>
    <w:rsid w:val="00463A81"/>
    <w:rsid w:val="004650DD"/>
    <w:rsid w:val="00466AAA"/>
    <w:rsid w:val="00470DEF"/>
    <w:rsid w:val="00477244"/>
    <w:rsid w:val="004800A6"/>
    <w:rsid w:val="00480FA6"/>
    <w:rsid w:val="00481F16"/>
    <w:rsid w:val="00483818"/>
    <w:rsid w:val="00484F3C"/>
    <w:rsid w:val="00487770"/>
    <w:rsid w:val="004937CB"/>
    <w:rsid w:val="00494116"/>
    <w:rsid w:val="004943F7"/>
    <w:rsid w:val="0049525D"/>
    <w:rsid w:val="0049526C"/>
    <w:rsid w:val="00495527"/>
    <w:rsid w:val="00496D39"/>
    <w:rsid w:val="004A03AB"/>
    <w:rsid w:val="004A20CA"/>
    <w:rsid w:val="004A60B2"/>
    <w:rsid w:val="004A7917"/>
    <w:rsid w:val="004B3900"/>
    <w:rsid w:val="004C005A"/>
    <w:rsid w:val="004C03FC"/>
    <w:rsid w:val="004C4473"/>
    <w:rsid w:val="004C7157"/>
    <w:rsid w:val="004D1DCB"/>
    <w:rsid w:val="004D7034"/>
    <w:rsid w:val="004E3DC1"/>
    <w:rsid w:val="004E501A"/>
    <w:rsid w:val="004E69E0"/>
    <w:rsid w:val="004F62E1"/>
    <w:rsid w:val="004F69CA"/>
    <w:rsid w:val="004F74E1"/>
    <w:rsid w:val="005022BA"/>
    <w:rsid w:val="005023F7"/>
    <w:rsid w:val="00507B1F"/>
    <w:rsid w:val="00512462"/>
    <w:rsid w:val="00514CBF"/>
    <w:rsid w:val="0052027F"/>
    <w:rsid w:val="005221A8"/>
    <w:rsid w:val="005275F2"/>
    <w:rsid w:val="00530709"/>
    <w:rsid w:val="005322CA"/>
    <w:rsid w:val="00533403"/>
    <w:rsid w:val="00542475"/>
    <w:rsid w:val="005446FF"/>
    <w:rsid w:val="00547243"/>
    <w:rsid w:val="005474D6"/>
    <w:rsid w:val="00547AAD"/>
    <w:rsid w:val="00550858"/>
    <w:rsid w:val="005509DB"/>
    <w:rsid w:val="005518DF"/>
    <w:rsid w:val="00552FE3"/>
    <w:rsid w:val="005542AE"/>
    <w:rsid w:val="005554AF"/>
    <w:rsid w:val="00557D4C"/>
    <w:rsid w:val="00561100"/>
    <w:rsid w:val="0056248D"/>
    <w:rsid w:val="005647E8"/>
    <w:rsid w:val="0056711F"/>
    <w:rsid w:val="00567228"/>
    <w:rsid w:val="005673D2"/>
    <w:rsid w:val="005708CF"/>
    <w:rsid w:val="005749E6"/>
    <w:rsid w:val="00580385"/>
    <w:rsid w:val="00581E53"/>
    <w:rsid w:val="0059383D"/>
    <w:rsid w:val="005A043C"/>
    <w:rsid w:val="005A1545"/>
    <w:rsid w:val="005A7B03"/>
    <w:rsid w:val="005B43CE"/>
    <w:rsid w:val="005C1E91"/>
    <w:rsid w:val="005C3DDE"/>
    <w:rsid w:val="005C7B95"/>
    <w:rsid w:val="005C7F15"/>
    <w:rsid w:val="005D6652"/>
    <w:rsid w:val="005D755D"/>
    <w:rsid w:val="005F1670"/>
    <w:rsid w:val="005F5522"/>
    <w:rsid w:val="00602456"/>
    <w:rsid w:val="00606E32"/>
    <w:rsid w:val="00610F26"/>
    <w:rsid w:val="006134CF"/>
    <w:rsid w:val="00615EDC"/>
    <w:rsid w:val="0061629D"/>
    <w:rsid w:val="00627CF1"/>
    <w:rsid w:val="006304DC"/>
    <w:rsid w:val="00635305"/>
    <w:rsid w:val="00641DDA"/>
    <w:rsid w:val="0064379A"/>
    <w:rsid w:val="00646FA9"/>
    <w:rsid w:val="006571CA"/>
    <w:rsid w:val="0066054B"/>
    <w:rsid w:val="006712B0"/>
    <w:rsid w:val="006715B8"/>
    <w:rsid w:val="00672960"/>
    <w:rsid w:val="00672AA4"/>
    <w:rsid w:val="00672F02"/>
    <w:rsid w:val="0067581D"/>
    <w:rsid w:val="00676294"/>
    <w:rsid w:val="00677238"/>
    <w:rsid w:val="00681AD5"/>
    <w:rsid w:val="006857F7"/>
    <w:rsid w:val="006859C0"/>
    <w:rsid w:val="006900FD"/>
    <w:rsid w:val="00691A4C"/>
    <w:rsid w:val="00693228"/>
    <w:rsid w:val="00694983"/>
    <w:rsid w:val="0069549B"/>
    <w:rsid w:val="0069786B"/>
    <w:rsid w:val="00697DFE"/>
    <w:rsid w:val="006B27B4"/>
    <w:rsid w:val="006B5A22"/>
    <w:rsid w:val="006B6188"/>
    <w:rsid w:val="006C146B"/>
    <w:rsid w:val="006C1786"/>
    <w:rsid w:val="006C3D9D"/>
    <w:rsid w:val="006C761D"/>
    <w:rsid w:val="006D0997"/>
    <w:rsid w:val="006D3924"/>
    <w:rsid w:val="006D3F17"/>
    <w:rsid w:val="006D7E1F"/>
    <w:rsid w:val="006E0DBD"/>
    <w:rsid w:val="006E18C0"/>
    <w:rsid w:val="006E4B25"/>
    <w:rsid w:val="006F227C"/>
    <w:rsid w:val="006F25BB"/>
    <w:rsid w:val="006F2738"/>
    <w:rsid w:val="00700A4E"/>
    <w:rsid w:val="0070101D"/>
    <w:rsid w:val="0070589C"/>
    <w:rsid w:val="00707130"/>
    <w:rsid w:val="007133A7"/>
    <w:rsid w:val="0071473E"/>
    <w:rsid w:val="007174D2"/>
    <w:rsid w:val="007201FA"/>
    <w:rsid w:val="00730924"/>
    <w:rsid w:val="00734122"/>
    <w:rsid w:val="00735721"/>
    <w:rsid w:val="00735CEF"/>
    <w:rsid w:val="0073669E"/>
    <w:rsid w:val="00736B8D"/>
    <w:rsid w:val="007379E1"/>
    <w:rsid w:val="00742457"/>
    <w:rsid w:val="00744996"/>
    <w:rsid w:val="007463D2"/>
    <w:rsid w:val="00746682"/>
    <w:rsid w:val="007468B7"/>
    <w:rsid w:val="00750255"/>
    <w:rsid w:val="00751608"/>
    <w:rsid w:val="00751A95"/>
    <w:rsid w:val="0075226B"/>
    <w:rsid w:val="00756D52"/>
    <w:rsid w:val="00762620"/>
    <w:rsid w:val="007651E7"/>
    <w:rsid w:val="00765B4C"/>
    <w:rsid w:val="00771EA5"/>
    <w:rsid w:val="00774119"/>
    <w:rsid w:val="0077456A"/>
    <w:rsid w:val="00780744"/>
    <w:rsid w:val="0078151F"/>
    <w:rsid w:val="007820A2"/>
    <w:rsid w:val="0078339C"/>
    <w:rsid w:val="00783792"/>
    <w:rsid w:val="0078474F"/>
    <w:rsid w:val="00792BDE"/>
    <w:rsid w:val="007949E0"/>
    <w:rsid w:val="00794C80"/>
    <w:rsid w:val="00797024"/>
    <w:rsid w:val="007A4979"/>
    <w:rsid w:val="007A5884"/>
    <w:rsid w:val="007A7C10"/>
    <w:rsid w:val="007B1D83"/>
    <w:rsid w:val="007B3DF8"/>
    <w:rsid w:val="007B51ED"/>
    <w:rsid w:val="007C0A39"/>
    <w:rsid w:val="007D3548"/>
    <w:rsid w:val="007D455B"/>
    <w:rsid w:val="007E0921"/>
    <w:rsid w:val="007E1848"/>
    <w:rsid w:val="007E52C6"/>
    <w:rsid w:val="007F0BD5"/>
    <w:rsid w:val="007F4DDE"/>
    <w:rsid w:val="00804597"/>
    <w:rsid w:val="008060C3"/>
    <w:rsid w:val="00812A26"/>
    <w:rsid w:val="00813200"/>
    <w:rsid w:val="00814402"/>
    <w:rsid w:val="00816888"/>
    <w:rsid w:val="008175AD"/>
    <w:rsid w:val="008230D2"/>
    <w:rsid w:val="00825837"/>
    <w:rsid w:val="0082653D"/>
    <w:rsid w:val="00826B9D"/>
    <w:rsid w:val="0083579F"/>
    <w:rsid w:val="0083619A"/>
    <w:rsid w:val="0083647A"/>
    <w:rsid w:val="008378EE"/>
    <w:rsid w:val="0084387D"/>
    <w:rsid w:val="00844A94"/>
    <w:rsid w:val="0084647E"/>
    <w:rsid w:val="00847EF0"/>
    <w:rsid w:val="00854174"/>
    <w:rsid w:val="00860EE7"/>
    <w:rsid w:val="00863E13"/>
    <w:rsid w:val="00864E45"/>
    <w:rsid w:val="00865337"/>
    <w:rsid w:val="00866B45"/>
    <w:rsid w:val="00867F4B"/>
    <w:rsid w:val="00873AB3"/>
    <w:rsid w:val="0087462B"/>
    <w:rsid w:val="008754A0"/>
    <w:rsid w:val="00883CB8"/>
    <w:rsid w:val="00884306"/>
    <w:rsid w:val="008938E1"/>
    <w:rsid w:val="008A7849"/>
    <w:rsid w:val="008B112E"/>
    <w:rsid w:val="008B1ECA"/>
    <w:rsid w:val="008B2A47"/>
    <w:rsid w:val="008B4FCA"/>
    <w:rsid w:val="008C0B7B"/>
    <w:rsid w:val="008C2478"/>
    <w:rsid w:val="008C4829"/>
    <w:rsid w:val="008D2686"/>
    <w:rsid w:val="008D5E61"/>
    <w:rsid w:val="008E0062"/>
    <w:rsid w:val="008E2A12"/>
    <w:rsid w:val="008E4946"/>
    <w:rsid w:val="008E4B87"/>
    <w:rsid w:val="008E6E0F"/>
    <w:rsid w:val="008E7437"/>
    <w:rsid w:val="008F1FE6"/>
    <w:rsid w:val="008F31A6"/>
    <w:rsid w:val="008F6A82"/>
    <w:rsid w:val="00900246"/>
    <w:rsid w:val="0090232E"/>
    <w:rsid w:val="00902974"/>
    <w:rsid w:val="009066D7"/>
    <w:rsid w:val="00910136"/>
    <w:rsid w:val="00912382"/>
    <w:rsid w:val="00912E45"/>
    <w:rsid w:val="00920529"/>
    <w:rsid w:val="00920753"/>
    <w:rsid w:val="00923116"/>
    <w:rsid w:val="00924C8F"/>
    <w:rsid w:val="0092515B"/>
    <w:rsid w:val="009300C1"/>
    <w:rsid w:val="009324A6"/>
    <w:rsid w:val="00933089"/>
    <w:rsid w:val="009370EB"/>
    <w:rsid w:val="0093773A"/>
    <w:rsid w:val="009402D8"/>
    <w:rsid w:val="00945E4A"/>
    <w:rsid w:val="00956AD5"/>
    <w:rsid w:val="00956FB5"/>
    <w:rsid w:val="00960125"/>
    <w:rsid w:val="0096199D"/>
    <w:rsid w:val="0096583E"/>
    <w:rsid w:val="00965855"/>
    <w:rsid w:val="0096702B"/>
    <w:rsid w:val="009702D1"/>
    <w:rsid w:val="00970442"/>
    <w:rsid w:val="009710B1"/>
    <w:rsid w:val="0097252F"/>
    <w:rsid w:val="00973190"/>
    <w:rsid w:val="009736CD"/>
    <w:rsid w:val="00975136"/>
    <w:rsid w:val="00977987"/>
    <w:rsid w:val="00982306"/>
    <w:rsid w:val="00983315"/>
    <w:rsid w:val="009920E1"/>
    <w:rsid w:val="009921E1"/>
    <w:rsid w:val="00992B00"/>
    <w:rsid w:val="00994065"/>
    <w:rsid w:val="00994E81"/>
    <w:rsid w:val="00997461"/>
    <w:rsid w:val="00997FE2"/>
    <w:rsid w:val="009A23CC"/>
    <w:rsid w:val="009A4E7A"/>
    <w:rsid w:val="009A5541"/>
    <w:rsid w:val="009A6FB4"/>
    <w:rsid w:val="009A728E"/>
    <w:rsid w:val="009B033A"/>
    <w:rsid w:val="009B1187"/>
    <w:rsid w:val="009B6AFD"/>
    <w:rsid w:val="009B6EE4"/>
    <w:rsid w:val="009C0478"/>
    <w:rsid w:val="009C0DF7"/>
    <w:rsid w:val="009C154E"/>
    <w:rsid w:val="009C50EC"/>
    <w:rsid w:val="009C6E1C"/>
    <w:rsid w:val="009C71C2"/>
    <w:rsid w:val="009D2EA3"/>
    <w:rsid w:val="009D7476"/>
    <w:rsid w:val="009E0F2B"/>
    <w:rsid w:val="009E18D0"/>
    <w:rsid w:val="009E2119"/>
    <w:rsid w:val="009E2E2B"/>
    <w:rsid w:val="009E2F02"/>
    <w:rsid w:val="009E6404"/>
    <w:rsid w:val="009F0C56"/>
    <w:rsid w:val="009F0DC9"/>
    <w:rsid w:val="009F1D6A"/>
    <w:rsid w:val="009F3340"/>
    <w:rsid w:val="009F3B44"/>
    <w:rsid w:val="00A0438B"/>
    <w:rsid w:val="00A059AB"/>
    <w:rsid w:val="00A1024E"/>
    <w:rsid w:val="00A10D0C"/>
    <w:rsid w:val="00A1118E"/>
    <w:rsid w:val="00A20E6F"/>
    <w:rsid w:val="00A22BDD"/>
    <w:rsid w:val="00A22E8D"/>
    <w:rsid w:val="00A235EC"/>
    <w:rsid w:val="00A23600"/>
    <w:rsid w:val="00A26F05"/>
    <w:rsid w:val="00A317AB"/>
    <w:rsid w:val="00A31922"/>
    <w:rsid w:val="00A34865"/>
    <w:rsid w:val="00A41257"/>
    <w:rsid w:val="00A42C50"/>
    <w:rsid w:val="00A469FB"/>
    <w:rsid w:val="00A47A9F"/>
    <w:rsid w:val="00A50223"/>
    <w:rsid w:val="00A66DFF"/>
    <w:rsid w:val="00A70E4D"/>
    <w:rsid w:val="00A720C8"/>
    <w:rsid w:val="00A723F1"/>
    <w:rsid w:val="00A7448C"/>
    <w:rsid w:val="00A76708"/>
    <w:rsid w:val="00A76BA1"/>
    <w:rsid w:val="00A809A0"/>
    <w:rsid w:val="00A8558A"/>
    <w:rsid w:val="00A858B2"/>
    <w:rsid w:val="00A85E71"/>
    <w:rsid w:val="00A863B0"/>
    <w:rsid w:val="00A87239"/>
    <w:rsid w:val="00A90CC2"/>
    <w:rsid w:val="00A97146"/>
    <w:rsid w:val="00AA04A4"/>
    <w:rsid w:val="00AA2D51"/>
    <w:rsid w:val="00AB25AB"/>
    <w:rsid w:val="00AB301A"/>
    <w:rsid w:val="00AC1DD5"/>
    <w:rsid w:val="00AC43A7"/>
    <w:rsid w:val="00AC46CA"/>
    <w:rsid w:val="00AD3BE9"/>
    <w:rsid w:val="00AE130B"/>
    <w:rsid w:val="00AE18D1"/>
    <w:rsid w:val="00AE24A5"/>
    <w:rsid w:val="00AF039A"/>
    <w:rsid w:val="00B010D3"/>
    <w:rsid w:val="00B01D15"/>
    <w:rsid w:val="00B02E87"/>
    <w:rsid w:val="00B036D6"/>
    <w:rsid w:val="00B1023C"/>
    <w:rsid w:val="00B150C4"/>
    <w:rsid w:val="00B1614C"/>
    <w:rsid w:val="00B2231F"/>
    <w:rsid w:val="00B225A0"/>
    <w:rsid w:val="00B3344C"/>
    <w:rsid w:val="00B3486E"/>
    <w:rsid w:val="00B40A08"/>
    <w:rsid w:val="00B44CAB"/>
    <w:rsid w:val="00B5118A"/>
    <w:rsid w:val="00B52BC1"/>
    <w:rsid w:val="00B5547D"/>
    <w:rsid w:val="00B562CC"/>
    <w:rsid w:val="00B60811"/>
    <w:rsid w:val="00B61736"/>
    <w:rsid w:val="00B62BE5"/>
    <w:rsid w:val="00B63D9A"/>
    <w:rsid w:val="00B65031"/>
    <w:rsid w:val="00B66ED5"/>
    <w:rsid w:val="00B712A5"/>
    <w:rsid w:val="00B759EB"/>
    <w:rsid w:val="00B81BFC"/>
    <w:rsid w:val="00B82FE0"/>
    <w:rsid w:val="00B86B5D"/>
    <w:rsid w:val="00B87CC0"/>
    <w:rsid w:val="00B91FB4"/>
    <w:rsid w:val="00B94E7E"/>
    <w:rsid w:val="00B962A0"/>
    <w:rsid w:val="00B96419"/>
    <w:rsid w:val="00BA0772"/>
    <w:rsid w:val="00BA5505"/>
    <w:rsid w:val="00BB0903"/>
    <w:rsid w:val="00BB12F9"/>
    <w:rsid w:val="00BB133C"/>
    <w:rsid w:val="00BB2359"/>
    <w:rsid w:val="00BB282E"/>
    <w:rsid w:val="00BB54BA"/>
    <w:rsid w:val="00BC0324"/>
    <w:rsid w:val="00BC0910"/>
    <w:rsid w:val="00BC3224"/>
    <w:rsid w:val="00BC4C57"/>
    <w:rsid w:val="00BD2B33"/>
    <w:rsid w:val="00BD58E7"/>
    <w:rsid w:val="00BD6426"/>
    <w:rsid w:val="00BE39A3"/>
    <w:rsid w:val="00BE3EA7"/>
    <w:rsid w:val="00BE59D3"/>
    <w:rsid w:val="00BE5DD3"/>
    <w:rsid w:val="00BF03B3"/>
    <w:rsid w:val="00BF1C8F"/>
    <w:rsid w:val="00BF28A9"/>
    <w:rsid w:val="00BF44A2"/>
    <w:rsid w:val="00BF5142"/>
    <w:rsid w:val="00C01CD7"/>
    <w:rsid w:val="00C022D2"/>
    <w:rsid w:val="00C0562D"/>
    <w:rsid w:val="00C05A1F"/>
    <w:rsid w:val="00C06108"/>
    <w:rsid w:val="00C07135"/>
    <w:rsid w:val="00C11DF3"/>
    <w:rsid w:val="00C151E7"/>
    <w:rsid w:val="00C22C68"/>
    <w:rsid w:val="00C4751C"/>
    <w:rsid w:val="00C47555"/>
    <w:rsid w:val="00C5212C"/>
    <w:rsid w:val="00C5235F"/>
    <w:rsid w:val="00C53099"/>
    <w:rsid w:val="00C53911"/>
    <w:rsid w:val="00C55B3C"/>
    <w:rsid w:val="00C60166"/>
    <w:rsid w:val="00C60895"/>
    <w:rsid w:val="00C612E9"/>
    <w:rsid w:val="00C646D3"/>
    <w:rsid w:val="00C64FEF"/>
    <w:rsid w:val="00C65E48"/>
    <w:rsid w:val="00C665AB"/>
    <w:rsid w:val="00C67A06"/>
    <w:rsid w:val="00C73480"/>
    <w:rsid w:val="00C75880"/>
    <w:rsid w:val="00C81CA1"/>
    <w:rsid w:val="00C826DE"/>
    <w:rsid w:val="00C90DE6"/>
    <w:rsid w:val="00C9135A"/>
    <w:rsid w:val="00C916FF"/>
    <w:rsid w:val="00C93636"/>
    <w:rsid w:val="00C95775"/>
    <w:rsid w:val="00C95AD8"/>
    <w:rsid w:val="00C97BA9"/>
    <w:rsid w:val="00C97CF7"/>
    <w:rsid w:val="00CA3D38"/>
    <w:rsid w:val="00CB0A5A"/>
    <w:rsid w:val="00CB6638"/>
    <w:rsid w:val="00CB693E"/>
    <w:rsid w:val="00CB7B78"/>
    <w:rsid w:val="00CC36DD"/>
    <w:rsid w:val="00CD37EB"/>
    <w:rsid w:val="00CD3A71"/>
    <w:rsid w:val="00CD5AEB"/>
    <w:rsid w:val="00CD62C5"/>
    <w:rsid w:val="00CD65C4"/>
    <w:rsid w:val="00CD7CEE"/>
    <w:rsid w:val="00CE4A40"/>
    <w:rsid w:val="00CE6E77"/>
    <w:rsid w:val="00CF48A9"/>
    <w:rsid w:val="00CF6989"/>
    <w:rsid w:val="00CF725C"/>
    <w:rsid w:val="00CF764E"/>
    <w:rsid w:val="00CF7C61"/>
    <w:rsid w:val="00D01A5D"/>
    <w:rsid w:val="00D028D4"/>
    <w:rsid w:val="00D03F72"/>
    <w:rsid w:val="00D13BC9"/>
    <w:rsid w:val="00D16355"/>
    <w:rsid w:val="00D203F0"/>
    <w:rsid w:val="00D2756E"/>
    <w:rsid w:val="00D3279E"/>
    <w:rsid w:val="00D35D76"/>
    <w:rsid w:val="00D4621E"/>
    <w:rsid w:val="00D465ED"/>
    <w:rsid w:val="00D51AC0"/>
    <w:rsid w:val="00D51C30"/>
    <w:rsid w:val="00D53105"/>
    <w:rsid w:val="00D54BC5"/>
    <w:rsid w:val="00D55B06"/>
    <w:rsid w:val="00D56DE2"/>
    <w:rsid w:val="00D62755"/>
    <w:rsid w:val="00D63A0A"/>
    <w:rsid w:val="00D73C2A"/>
    <w:rsid w:val="00D75B41"/>
    <w:rsid w:val="00D80ACE"/>
    <w:rsid w:val="00D81F1C"/>
    <w:rsid w:val="00D83CB2"/>
    <w:rsid w:val="00D93026"/>
    <w:rsid w:val="00D963A8"/>
    <w:rsid w:val="00DA001C"/>
    <w:rsid w:val="00DA0BC5"/>
    <w:rsid w:val="00DA4292"/>
    <w:rsid w:val="00DA4FE2"/>
    <w:rsid w:val="00DA521C"/>
    <w:rsid w:val="00DA62A9"/>
    <w:rsid w:val="00DB1581"/>
    <w:rsid w:val="00DB4D0B"/>
    <w:rsid w:val="00DB5DAD"/>
    <w:rsid w:val="00DC5181"/>
    <w:rsid w:val="00DC546C"/>
    <w:rsid w:val="00DC6E36"/>
    <w:rsid w:val="00DD127F"/>
    <w:rsid w:val="00DD69D8"/>
    <w:rsid w:val="00DE62BD"/>
    <w:rsid w:val="00DF3347"/>
    <w:rsid w:val="00E0353A"/>
    <w:rsid w:val="00E06BCF"/>
    <w:rsid w:val="00E07BF6"/>
    <w:rsid w:val="00E14296"/>
    <w:rsid w:val="00E1470E"/>
    <w:rsid w:val="00E14E65"/>
    <w:rsid w:val="00E15ABF"/>
    <w:rsid w:val="00E22041"/>
    <w:rsid w:val="00E24DDE"/>
    <w:rsid w:val="00E27D7F"/>
    <w:rsid w:val="00E30CA0"/>
    <w:rsid w:val="00E3342C"/>
    <w:rsid w:val="00E369C8"/>
    <w:rsid w:val="00E378C3"/>
    <w:rsid w:val="00E411A3"/>
    <w:rsid w:val="00E4213C"/>
    <w:rsid w:val="00E43069"/>
    <w:rsid w:val="00E451CE"/>
    <w:rsid w:val="00E46D3B"/>
    <w:rsid w:val="00E47B44"/>
    <w:rsid w:val="00E561D0"/>
    <w:rsid w:val="00E606A2"/>
    <w:rsid w:val="00E610B6"/>
    <w:rsid w:val="00E613F0"/>
    <w:rsid w:val="00E63FD6"/>
    <w:rsid w:val="00E71A4D"/>
    <w:rsid w:val="00E74156"/>
    <w:rsid w:val="00E74B52"/>
    <w:rsid w:val="00E75555"/>
    <w:rsid w:val="00E7784D"/>
    <w:rsid w:val="00E8115B"/>
    <w:rsid w:val="00E84B94"/>
    <w:rsid w:val="00E85D3B"/>
    <w:rsid w:val="00E90D2D"/>
    <w:rsid w:val="00E9124C"/>
    <w:rsid w:val="00E91EC7"/>
    <w:rsid w:val="00E97FF4"/>
    <w:rsid w:val="00EA1B99"/>
    <w:rsid w:val="00EA7BEF"/>
    <w:rsid w:val="00EB01E7"/>
    <w:rsid w:val="00EB1241"/>
    <w:rsid w:val="00EB1A9D"/>
    <w:rsid w:val="00EB279E"/>
    <w:rsid w:val="00EB434D"/>
    <w:rsid w:val="00EB5461"/>
    <w:rsid w:val="00EC0741"/>
    <w:rsid w:val="00ED0C1E"/>
    <w:rsid w:val="00ED182C"/>
    <w:rsid w:val="00ED2262"/>
    <w:rsid w:val="00ED4759"/>
    <w:rsid w:val="00ED751D"/>
    <w:rsid w:val="00EE1CA8"/>
    <w:rsid w:val="00EE2274"/>
    <w:rsid w:val="00EE2B59"/>
    <w:rsid w:val="00EE4866"/>
    <w:rsid w:val="00EF19AA"/>
    <w:rsid w:val="00EF1DD2"/>
    <w:rsid w:val="00EF24EE"/>
    <w:rsid w:val="00EF3A60"/>
    <w:rsid w:val="00EF67A8"/>
    <w:rsid w:val="00EF689D"/>
    <w:rsid w:val="00EF7983"/>
    <w:rsid w:val="00F12F51"/>
    <w:rsid w:val="00F14B7F"/>
    <w:rsid w:val="00F203FC"/>
    <w:rsid w:val="00F22716"/>
    <w:rsid w:val="00F2378C"/>
    <w:rsid w:val="00F2397E"/>
    <w:rsid w:val="00F239FF"/>
    <w:rsid w:val="00F33B06"/>
    <w:rsid w:val="00F35987"/>
    <w:rsid w:val="00F45DBC"/>
    <w:rsid w:val="00F52732"/>
    <w:rsid w:val="00F541AA"/>
    <w:rsid w:val="00F564A2"/>
    <w:rsid w:val="00F56BC4"/>
    <w:rsid w:val="00F56DDA"/>
    <w:rsid w:val="00F60348"/>
    <w:rsid w:val="00F61625"/>
    <w:rsid w:val="00F738F0"/>
    <w:rsid w:val="00F73F62"/>
    <w:rsid w:val="00F76E01"/>
    <w:rsid w:val="00F8011D"/>
    <w:rsid w:val="00F82523"/>
    <w:rsid w:val="00F8392F"/>
    <w:rsid w:val="00F84589"/>
    <w:rsid w:val="00F87A4E"/>
    <w:rsid w:val="00F933F4"/>
    <w:rsid w:val="00F93DA4"/>
    <w:rsid w:val="00F93FC8"/>
    <w:rsid w:val="00F97103"/>
    <w:rsid w:val="00FA14EE"/>
    <w:rsid w:val="00FA32A9"/>
    <w:rsid w:val="00FA6BB9"/>
    <w:rsid w:val="00FB01E9"/>
    <w:rsid w:val="00FB71D8"/>
    <w:rsid w:val="00FC3AB8"/>
    <w:rsid w:val="00FD0518"/>
    <w:rsid w:val="00FD66B0"/>
    <w:rsid w:val="00FD7C65"/>
    <w:rsid w:val="00FE01D4"/>
    <w:rsid w:val="00FE0A64"/>
    <w:rsid w:val="00FE764E"/>
    <w:rsid w:val="00FF079C"/>
    <w:rsid w:val="00FF4E5C"/>
    <w:rsid w:val="00FF79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outlineLvl w:val="0"/>
    </w:pPr>
    <w:rPr>
      <w:rFonts w:ascii="Arial" w:hAnsi="Arial"/>
      <w:i/>
      <w:snapToGrid w:val="0"/>
      <w:sz w:val="16"/>
    </w:rPr>
  </w:style>
  <w:style w:type="paragraph" w:styleId="Titolo2">
    <w:name w:val="heading 2"/>
    <w:basedOn w:val="Normale"/>
    <w:next w:val="Normale"/>
    <w:qFormat/>
    <w:pPr>
      <w:keepNext/>
      <w:jc w:val="center"/>
      <w:outlineLvl w:val="1"/>
    </w:pPr>
    <w:rPr>
      <w:sz w:val="24"/>
    </w:rPr>
  </w:style>
  <w:style w:type="paragraph" w:styleId="Titolo3">
    <w:name w:val="heading 3"/>
    <w:basedOn w:val="Normale"/>
    <w:next w:val="Normale"/>
    <w:qFormat/>
    <w:pPr>
      <w:keepNext/>
      <w:tabs>
        <w:tab w:val="left" w:pos="2552"/>
      </w:tabs>
      <w:ind w:left="4253"/>
      <w:jc w:val="center"/>
      <w:outlineLvl w:val="2"/>
    </w:pPr>
    <w:rPr>
      <w:bCs/>
      <w:sz w:val="24"/>
    </w:rPr>
  </w:style>
  <w:style w:type="paragraph" w:styleId="Titolo4">
    <w:name w:val="heading 4"/>
    <w:basedOn w:val="Normale"/>
    <w:next w:val="Normale"/>
    <w:qFormat/>
    <w:pPr>
      <w:keepNext/>
      <w:outlineLvl w:val="3"/>
    </w:pPr>
    <w:rPr>
      <w:b/>
      <w:bCs/>
      <w:smallCaps/>
      <w:sz w:val="22"/>
      <w:lang w:val="de-DE"/>
    </w:rPr>
  </w:style>
  <w:style w:type="paragraph" w:styleId="Titolo5">
    <w:name w:val="heading 5"/>
    <w:basedOn w:val="Normale"/>
    <w:next w:val="Normale"/>
    <w:qFormat/>
    <w:pPr>
      <w:keepNext/>
      <w:tabs>
        <w:tab w:val="left" w:pos="4536"/>
      </w:tabs>
      <w:jc w:val="center"/>
      <w:outlineLvl w:val="4"/>
    </w:pPr>
    <w:rPr>
      <w:b/>
      <w:bCs/>
      <w:smallCaps/>
      <w:sz w:val="28"/>
    </w:rPr>
  </w:style>
  <w:style w:type="paragraph" w:styleId="Titolo6">
    <w:name w:val="heading 6"/>
    <w:basedOn w:val="Normale"/>
    <w:next w:val="Normale"/>
    <w:qFormat/>
    <w:pPr>
      <w:keepNext/>
      <w:tabs>
        <w:tab w:val="left" w:pos="4536"/>
      </w:tabs>
      <w:jc w:val="center"/>
      <w:outlineLvl w:val="5"/>
    </w:pPr>
    <w:rPr>
      <w:b/>
      <w:bCs/>
      <w:smallCaps/>
      <w:sz w:val="24"/>
    </w:rPr>
  </w:style>
  <w:style w:type="paragraph" w:styleId="Titolo7">
    <w:name w:val="heading 7"/>
    <w:basedOn w:val="Normale"/>
    <w:next w:val="Normale"/>
    <w:qFormat/>
    <w:pPr>
      <w:keepNext/>
      <w:tabs>
        <w:tab w:val="left" w:pos="2552"/>
      </w:tabs>
      <w:ind w:left="4253"/>
      <w:jc w:val="center"/>
      <w:outlineLvl w:val="6"/>
    </w:pPr>
    <w:rPr>
      <w:bCs/>
      <w:i/>
      <w:iCs/>
      <w:sz w:val="24"/>
    </w:rPr>
  </w:style>
  <w:style w:type="paragraph" w:styleId="Titolo8">
    <w:name w:val="heading 8"/>
    <w:basedOn w:val="Normale"/>
    <w:next w:val="Normale"/>
    <w:qFormat/>
    <w:pPr>
      <w:keepNext/>
      <w:outlineLvl w:val="7"/>
    </w:pPr>
    <w:rPr>
      <w:rFonts w:ascii="Arial" w:hAnsi="Arial"/>
      <w:b/>
      <w:bCs/>
      <w:snapToGrid w:val="0"/>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paragraph" w:customStyle="1" w:styleId="Caratterestandard">
    <w:name w:val="Carattere standard"/>
    <w:basedOn w:val="Normale"/>
    <w:rPr>
      <w:sz w:val="24"/>
    </w:rPr>
  </w:style>
  <w:style w:type="paragraph" w:styleId="Rientrocorpodeltesto">
    <w:name w:val="Body Text Indent"/>
    <w:basedOn w:val="Normale"/>
    <w:pPr>
      <w:tabs>
        <w:tab w:val="left" w:pos="2552"/>
      </w:tabs>
      <w:ind w:left="2552" w:hanging="2552"/>
      <w:jc w:val="both"/>
    </w:pPr>
    <w:rPr>
      <w:sz w:val="24"/>
    </w:rPr>
  </w:style>
  <w:style w:type="character" w:styleId="Numeropagina">
    <w:name w:val="page number"/>
    <w:basedOn w:val="Carpredefinitoparagrafo"/>
  </w:style>
  <w:style w:type="paragraph" w:styleId="Corpotesto">
    <w:name w:val="Body Text"/>
    <w:basedOn w:val="Normale"/>
    <w:pPr>
      <w:tabs>
        <w:tab w:val="left" w:pos="2552"/>
      </w:tabs>
      <w:spacing w:after="120"/>
      <w:jc w:val="both"/>
    </w:pPr>
    <w:rPr>
      <w:sz w:val="24"/>
    </w:rPr>
  </w:style>
  <w:style w:type="paragraph" w:styleId="Intestazione">
    <w:name w:val="header"/>
    <w:basedOn w:val="Normale"/>
    <w:link w:val="IntestazioneCarattere"/>
    <w:uiPriority w:val="99"/>
    <w:pPr>
      <w:tabs>
        <w:tab w:val="center" w:pos="4819"/>
        <w:tab w:val="right" w:pos="9638"/>
      </w:tabs>
    </w:pPr>
  </w:style>
  <w:style w:type="paragraph" w:styleId="Testofumetto">
    <w:name w:val="Balloon Text"/>
    <w:basedOn w:val="Normale"/>
    <w:semiHidden/>
    <w:rPr>
      <w:rFonts w:ascii="Tahoma" w:hAnsi="Tahoma" w:cs="Courier New"/>
      <w:sz w:val="16"/>
      <w:szCs w:val="16"/>
    </w:rPr>
  </w:style>
  <w:style w:type="paragraph" w:styleId="Rientrocorpodeltesto2">
    <w:name w:val="Body Text Indent 2"/>
    <w:basedOn w:val="Normale"/>
    <w:link w:val="Rientrocorpodeltesto2Carattere"/>
    <w:pPr>
      <w:ind w:firstLine="567"/>
      <w:jc w:val="both"/>
    </w:pPr>
    <w:rPr>
      <w:sz w:val="24"/>
    </w:rPr>
  </w:style>
  <w:style w:type="paragraph" w:styleId="Rientrocorpodeltesto3">
    <w:name w:val="Body Text Indent 3"/>
    <w:basedOn w:val="Normale"/>
    <w:pPr>
      <w:ind w:left="4536"/>
      <w:jc w:val="center"/>
    </w:pPr>
    <w:rPr>
      <w:i/>
      <w:sz w:val="24"/>
    </w:rPr>
  </w:style>
  <w:style w:type="character" w:customStyle="1" w:styleId="IntestazioneCarattere">
    <w:name w:val="Intestazione Carattere"/>
    <w:link w:val="Intestazione"/>
    <w:uiPriority w:val="99"/>
    <w:rsid w:val="003A310D"/>
  </w:style>
  <w:style w:type="character" w:customStyle="1" w:styleId="PidipaginaCarattere">
    <w:name w:val="Piè di pagina Carattere"/>
    <w:link w:val="Pidipagina"/>
    <w:uiPriority w:val="99"/>
    <w:rsid w:val="007D3548"/>
  </w:style>
  <w:style w:type="character" w:customStyle="1" w:styleId="Rientrocorpodeltesto2Carattere">
    <w:name w:val="Rientro corpo del testo 2 Carattere"/>
    <w:link w:val="Rientrocorpodeltesto2"/>
    <w:rsid w:val="004B3900"/>
    <w:rPr>
      <w:sz w:val="24"/>
    </w:rPr>
  </w:style>
  <w:style w:type="paragraph" w:styleId="Paragrafoelenco">
    <w:name w:val="List Paragraph"/>
    <w:basedOn w:val="Normale"/>
    <w:uiPriority w:val="34"/>
    <w:qFormat/>
    <w:rsid w:val="00483818"/>
    <w:pPr>
      <w:ind w:left="708"/>
    </w:pPr>
  </w:style>
  <w:style w:type="paragraph" w:customStyle="1" w:styleId="Default">
    <w:name w:val="Default"/>
    <w:rsid w:val="003B5794"/>
    <w:pPr>
      <w:autoSpaceDE w:val="0"/>
      <w:autoSpaceDN w:val="0"/>
      <w:adjustRightInd w:val="0"/>
    </w:pPr>
    <w:rPr>
      <w:rFonts w:ascii="Frutiger LT 45 Light" w:hAnsi="Frutiger LT 45 Light" w:cs="Frutiger LT 45 Light"/>
      <w:color w:val="000000"/>
      <w:sz w:val="24"/>
      <w:szCs w:val="24"/>
    </w:rPr>
  </w:style>
  <w:style w:type="table" w:styleId="Grigliatabella">
    <w:name w:val="Table Grid"/>
    <w:basedOn w:val="Tabellanormale"/>
    <w:uiPriority w:val="39"/>
    <w:rsid w:val="005708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5">
    <w:name w:val="Light List Accent 5"/>
    <w:basedOn w:val="Tabellanormale"/>
    <w:uiPriority w:val="61"/>
    <w:rsid w:val="001D05EA"/>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fondochiaro-Colore1">
    <w:name w:val="Light Shading Accent 1"/>
    <w:basedOn w:val="Tabellanormale"/>
    <w:uiPriority w:val="60"/>
    <w:rsid w:val="009E640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llegamentoipertestuale">
    <w:name w:val="Hyperlink"/>
    <w:basedOn w:val="Carpredefinitoparagrafo"/>
    <w:uiPriority w:val="99"/>
    <w:unhideWhenUsed/>
    <w:rsid w:val="00970442"/>
    <w:rPr>
      <w:color w:val="0000FF"/>
      <w:u w:val="single"/>
    </w:rPr>
  </w:style>
  <w:style w:type="character" w:styleId="Collegamentovisitato">
    <w:name w:val="FollowedHyperlink"/>
    <w:basedOn w:val="Carpredefinitoparagrafo"/>
    <w:uiPriority w:val="99"/>
    <w:semiHidden/>
    <w:unhideWhenUsed/>
    <w:rsid w:val="00970442"/>
    <w:rPr>
      <w:color w:val="800080"/>
      <w:u w:val="single"/>
    </w:rPr>
  </w:style>
  <w:style w:type="paragraph" w:customStyle="1" w:styleId="font5">
    <w:name w:val="font5"/>
    <w:basedOn w:val="Normale"/>
    <w:rsid w:val="00970442"/>
    <w:pPr>
      <w:spacing w:before="100" w:beforeAutospacing="1" w:after="100" w:afterAutospacing="1"/>
    </w:pPr>
    <w:rPr>
      <w:rFonts w:ascii="Tahoma" w:hAnsi="Tahoma" w:cs="Tahoma"/>
      <w:color w:val="000000"/>
      <w:sz w:val="16"/>
      <w:szCs w:val="16"/>
    </w:rPr>
  </w:style>
  <w:style w:type="paragraph" w:customStyle="1" w:styleId="font6">
    <w:name w:val="font6"/>
    <w:basedOn w:val="Normale"/>
    <w:rsid w:val="00970442"/>
    <w:pPr>
      <w:spacing w:before="100" w:beforeAutospacing="1" w:after="100" w:afterAutospacing="1"/>
    </w:pPr>
    <w:rPr>
      <w:rFonts w:ascii="Tahoma" w:hAnsi="Tahoma" w:cs="Tahoma"/>
      <w:b/>
      <w:bCs/>
      <w:color w:val="000000"/>
      <w:sz w:val="16"/>
      <w:szCs w:val="16"/>
    </w:rPr>
  </w:style>
  <w:style w:type="paragraph" w:customStyle="1" w:styleId="xl65">
    <w:name w:val="xl65"/>
    <w:basedOn w:val="Normale"/>
    <w:rsid w:val="00970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6">
    <w:name w:val="xl66"/>
    <w:basedOn w:val="Normale"/>
    <w:rsid w:val="00970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Normale"/>
    <w:rsid w:val="00970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9">
    <w:name w:val="xl69"/>
    <w:basedOn w:val="Normale"/>
    <w:rsid w:val="0097044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0">
    <w:name w:val="xl70"/>
    <w:basedOn w:val="Normale"/>
    <w:rsid w:val="00970442"/>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sz w:val="16"/>
      <w:szCs w:val="16"/>
    </w:rPr>
  </w:style>
  <w:style w:type="paragraph" w:customStyle="1" w:styleId="xl71">
    <w:name w:val="xl71"/>
    <w:basedOn w:val="Normale"/>
    <w:rsid w:val="00970442"/>
    <w:pPr>
      <w:spacing w:before="100" w:beforeAutospacing="1" w:after="100" w:afterAutospacing="1"/>
    </w:pPr>
    <w:rPr>
      <w:b/>
      <w:bCs/>
      <w:sz w:val="24"/>
      <w:szCs w:val="24"/>
    </w:rPr>
  </w:style>
  <w:style w:type="paragraph" w:customStyle="1" w:styleId="xl72">
    <w:name w:val="xl72"/>
    <w:basedOn w:val="Normale"/>
    <w:rsid w:val="00970442"/>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pPr>
    <w:rPr>
      <w:b/>
      <w:bCs/>
      <w:sz w:val="24"/>
      <w:szCs w:val="24"/>
    </w:rPr>
  </w:style>
  <w:style w:type="paragraph" w:customStyle="1" w:styleId="xl73">
    <w:name w:val="xl73"/>
    <w:basedOn w:val="Normale"/>
    <w:rsid w:val="00970442"/>
    <w:pPr>
      <w:pBdr>
        <w:top w:val="single" w:sz="4" w:space="0" w:color="auto"/>
        <w:bottom w:val="single" w:sz="4" w:space="0" w:color="auto"/>
      </w:pBdr>
      <w:shd w:val="clear" w:color="000000" w:fill="C0C0C0"/>
      <w:spacing w:before="100" w:beforeAutospacing="1" w:after="100" w:afterAutospacing="1"/>
      <w:jc w:val="center"/>
      <w:textAlignment w:val="center"/>
    </w:pPr>
    <w:rPr>
      <w:sz w:val="16"/>
      <w:szCs w:val="16"/>
    </w:rPr>
  </w:style>
  <w:style w:type="paragraph" w:customStyle="1" w:styleId="xl74">
    <w:name w:val="xl74"/>
    <w:basedOn w:val="Normale"/>
    <w:rsid w:val="00970442"/>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sz w:val="16"/>
      <w:szCs w:val="16"/>
    </w:rPr>
  </w:style>
  <w:style w:type="paragraph" w:customStyle="1" w:styleId="xl68">
    <w:name w:val="xl68"/>
    <w:basedOn w:val="Normale"/>
    <w:rsid w:val="0046397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styleId="Titolosommario">
    <w:name w:val="TOC Heading"/>
    <w:basedOn w:val="Titolo1"/>
    <w:next w:val="Normale"/>
    <w:uiPriority w:val="39"/>
    <w:unhideWhenUsed/>
    <w:qFormat/>
    <w:rsid w:val="00E14E65"/>
    <w:pPr>
      <w:keepLines/>
      <w:spacing w:before="240" w:line="259" w:lineRule="auto"/>
      <w:outlineLvl w:val="9"/>
    </w:pPr>
    <w:rPr>
      <w:rFonts w:asciiTheme="majorHAnsi" w:eastAsiaTheme="majorEastAsia" w:hAnsiTheme="majorHAnsi" w:cstheme="majorBidi"/>
      <w:i w:val="0"/>
      <w:snapToGrid/>
      <w:color w:val="365F91" w:themeColor="accent1" w:themeShade="BF"/>
      <w:sz w:val="32"/>
      <w:szCs w:val="32"/>
    </w:rPr>
  </w:style>
  <w:style w:type="paragraph" w:styleId="Sommario1">
    <w:name w:val="toc 1"/>
    <w:basedOn w:val="Normale"/>
    <w:next w:val="Normale"/>
    <w:autoRedefine/>
    <w:uiPriority w:val="39"/>
    <w:unhideWhenUsed/>
    <w:rsid w:val="00E14E65"/>
    <w:pPr>
      <w:spacing w:after="100"/>
    </w:pPr>
  </w:style>
  <w:style w:type="paragraph" w:styleId="Sommario2">
    <w:name w:val="toc 2"/>
    <w:basedOn w:val="Normale"/>
    <w:next w:val="Normale"/>
    <w:autoRedefine/>
    <w:uiPriority w:val="39"/>
    <w:unhideWhenUsed/>
    <w:rsid w:val="00076C41"/>
    <w:pPr>
      <w:spacing w:after="100"/>
      <w:ind w:left="200"/>
    </w:pPr>
  </w:style>
  <w:style w:type="paragraph" w:styleId="Sommario3">
    <w:name w:val="toc 3"/>
    <w:basedOn w:val="Normale"/>
    <w:next w:val="Normale"/>
    <w:autoRedefine/>
    <w:uiPriority w:val="39"/>
    <w:unhideWhenUsed/>
    <w:rsid w:val="00076C41"/>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outlineLvl w:val="0"/>
    </w:pPr>
    <w:rPr>
      <w:rFonts w:ascii="Arial" w:hAnsi="Arial"/>
      <w:i/>
      <w:snapToGrid w:val="0"/>
      <w:sz w:val="16"/>
    </w:rPr>
  </w:style>
  <w:style w:type="paragraph" w:styleId="Titolo2">
    <w:name w:val="heading 2"/>
    <w:basedOn w:val="Normale"/>
    <w:next w:val="Normale"/>
    <w:qFormat/>
    <w:pPr>
      <w:keepNext/>
      <w:jc w:val="center"/>
      <w:outlineLvl w:val="1"/>
    </w:pPr>
    <w:rPr>
      <w:sz w:val="24"/>
    </w:rPr>
  </w:style>
  <w:style w:type="paragraph" w:styleId="Titolo3">
    <w:name w:val="heading 3"/>
    <w:basedOn w:val="Normale"/>
    <w:next w:val="Normale"/>
    <w:qFormat/>
    <w:pPr>
      <w:keepNext/>
      <w:tabs>
        <w:tab w:val="left" w:pos="2552"/>
      </w:tabs>
      <w:ind w:left="4253"/>
      <w:jc w:val="center"/>
      <w:outlineLvl w:val="2"/>
    </w:pPr>
    <w:rPr>
      <w:bCs/>
      <w:sz w:val="24"/>
    </w:rPr>
  </w:style>
  <w:style w:type="paragraph" w:styleId="Titolo4">
    <w:name w:val="heading 4"/>
    <w:basedOn w:val="Normale"/>
    <w:next w:val="Normale"/>
    <w:qFormat/>
    <w:pPr>
      <w:keepNext/>
      <w:outlineLvl w:val="3"/>
    </w:pPr>
    <w:rPr>
      <w:b/>
      <w:bCs/>
      <w:smallCaps/>
      <w:sz w:val="22"/>
      <w:lang w:val="de-DE"/>
    </w:rPr>
  </w:style>
  <w:style w:type="paragraph" w:styleId="Titolo5">
    <w:name w:val="heading 5"/>
    <w:basedOn w:val="Normale"/>
    <w:next w:val="Normale"/>
    <w:qFormat/>
    <w:pPr>
      <w:keepNext/>
      <w:tabs>
        <w:tab w:val="left" w:pos="4536"/>
      </w:tabs>
      <w:jc w:val="center"/>
      <w:outlineLvl w:val="4"/>
    </w:pPr>
    <w:rPr>
      <w:b/>
      <w:bCs/>
      <w:smallCaps/>
      <w:sz w:val="28"/>
    </w:rPr>
  </w:style>
  <w:style w:type="paragraph" w:styleId="Titolo6">
    <w:name w:val="heading 6"/>
    <w:basedOn w:val="Normale"/>
    <w:next w:val="Normale"/>
    <w:qFormat/>
    <w:pPr>
      <w:keepNext/>
      <w:tabs>
        <w:tab w:val="left" w:pos="4536"/>
      </w:tabs>
      <w:jc w:val="center"/>
      <w:outlineLvl w:val="5"/>
    </w:pPr>
    <w:rPr>
      <w:b/>
      <w:bCs/>
      <w:smallCaps/>
      <w:sz w:val="24"/>
    </w:rPr>
  </w:style>
  <w:style w:type="paragraph" w:styleId="Titolo7">
    <w:name w:val="heading 7"/>
    <w:basedOn w:val="Normale"/>
    <w:next w:val="Normale"/>
    <w:qFormat/>
    <w:pPr>
      <w:keepNext/>
      <w:tabs>
        <w:tab w:val="left" w:pos="2552"/>
      </w:tabs>
      <w:ind w:left="4253"/>
      <w:jc w:val="center"/>
      <w:outlineLvl w:val="6"/>
    </w:pPr>
    <w:rPr>
      <w:bCs/>
      <w:i/>
      <w:iCs/>
      <w:sz w:val="24"/>
    </w:rPr>
  </w:style>
  <w:style w:type="paragraph" w:styleId="Titolo8">
    <w:name w:val="heading 8"/>
    <w:basedOn w:val="Normale"/>
    <w:next w:val="Normale"/>
    <w:qFormat/>
    <w:pPr>
      <w:keepNext/>
      <w:outlineLvl w:val="7"/>
    </w:pPr>
    <w:rPr>
      <w:rFonts w:ascii="Arial" w:hAnsi="Arial"/>
      <w:b/>
      <w:bCs/>
      <w:snapToGrid w:val="0"/>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paragraph" w:customStyle="1" w:styleId="Caratterestandard">
    <w:name w:val="Carattere standard"/>
    <w:basedOn w:val="Normale"/>
    <w:rPr>
      <w:sz w:val="24"/>
    </w:rPr>
  </w:style>
  <w:style w:type="paragraph" w:styleId="Rientrocorpodeltesto">
    <w:name w:val="Body Text Indent"/>
    <w:basedOn w:val="Normale"/>
    <w:pPr>
      <w:tabs>
        <w:tab w:val="left" w:pos="2552"/>
      </w:tabs>
      <w:ind w:left="2552" w:hanging="2552"/>
      <w:jc w:val="both"/>
    </w:pPr>
    <w:rPr>
      <w:sz w:val="24"/>
    </w:rPr>
  </w:style>
  <w:style w:type="character" w:styleId="Numeropagina">
    <w:name w:val="page number"/>
    <w:basedOn w:val="Carpredefinitoparagrafo"/>
  </w:style>
  <w:style w:type="paragraph" w:styleId="Corpotesto">
    <w:name w:val="Body Text"/>
    <w:basedOn w:val="Normale"/>
    <w:pPr>
      <w:tabs>
        <w:tab w:val="left" w:pos="2552"/>
      </w:tabs>
      <w:spacing w:after="120"/>
      <w:jc w:val="both"/>
    </w:pPr>
    <w:rPr>
      <w:sz w:val="24"/>
    </w:rPr>
  </w:style>
  <w:style w:type="paragraph" w:styleId="Intestazione">
    <w:name w:val="header"/>
    <w:basedOn w:val="Normale"/>
    <w:link w:val="IntestazioneCarattere"/>
    <w:uiPriority w:val="99"/>
    <w:pPr>
      <w:tabs>
        <w:tab w:val="center" w:pos="4819"/>
        <w:tab w:val="right" w:pos="9638"/>
      </w:tabs>
    </w:pPr>
  </w:style>
  <w:style w:type="paragraph" w:styleId="Testofumetto">
    <w:name w:val="Balloon Text"/>
    <w:basedOn w:val="Normale"/>
    <w:semiHidden/>
    <w:rPr>
      <w:rFonts w:ascii="Tahoma" w:hAnsi="Tahoma" w:cs="Courier New"/>
      <w:sz w:val="16"/>
      <w:szCs w:val="16"/>
    </w:rPr>
  </w:style>
  <w:style w:type="paragraph" w:styleId="Rientrocorpodeltesto2">
    <w:name w:val="Body Text Indent 2"/>
    <w:basedOn w:val="Normale"/>
    <w:link w:val="Rientrocorpodeltesto2Carattere"/>
    <w:pPr>
      <w:ind w:firstLine="567"/>
      <w:jc w:val="both"/>
    </w:pPr>
    <w:rPr>
      <w:sz w:val="24"/>
    </w:rPr>
  </w:style>
  <w:style w:type="paragraph" w:styleId="Rientrocorpodeltesto3">
    <w:name w:val="Body Text Indent 3"/>
    <w:basedOn w:val="Normale"/>
    <w:pPr>
      <w:ind w:left="4536"/>
      <w:jc w:val="center"/>
    </w:pPr>
    <w:rPr>
      <w:i/>
      <w:sz w:val="24"/>
    </w:rPr>
  </w:style>
  <w:style w:type="character" w:customStyle="1" w:styleId="IntestazioneCarattere">
    <w:name w:val="Intestazione Carattere"/>
    <w:link w:val="Intestazione"/>
    <w:uiPriority w:val="99"/>
    <w:rsid w:val="003A310D"/>
  </w:style>
  <w:style w:type="character" w:customStyle="1" w:styleId="PidipaginaCarattere">
    <w:name w:val="Piè di pagina Carattere"/>
    <w:link w:val="Pidipagina"/>
    <w:uiPriority w:val="99"/>
    <w:rsid w:val="007D3548"/>
  </w:style>
  <w:style w:type="character" w:customStyle="1" w:styleId="Rientrocorpodeltesto2Carattere">
    <w:name w:val="Rientro corpo del testo 2 Carattere"/>
    <w:link w:val="Rientrocorpodeltesto2"/>
    <w:rsid w:val="004B3900"/>
    <w:rPr>
      <w:sz w:val="24"/>
    </w:rPr>
  </w:style>
  <w:style w:type="paragraph" w:styleId="Paragrafoelenco">
    <w:name w:val="List Paragraph"/>
    <w:basedOn w:val="Normale"/>
    <w:uiPriority w:val="34"/>
    <w:qFormat/>
    <w:rsid w:val="00483818"/>
    <w:pPr>
      <w:ind w:left="708"/>
    </w:pPr>
  </w:style>
  <w:style w:type="paragraph" w:customStyle="1" w:styleId="Default">
    <w:name w:val="Default"/>
    <w:rsid w:val="003B5794"/>
    <w:pPr>
      <w:autoSpaceDE w:val="0"/>
      <w:autoSpaceDN w:val="0"/>
      <w:adjustRightInd w:val="0"/>
    </w:pPr>
    <w:rPr>
      <w:rFonts w:ascii="Frutiger LT 45 Light" w:hAnsi="Frutiger LT 45 Light" w:cs="Frutiger LT 45 Light"/>
      <w:color w:val="000000"/>
      <w:sz w:val="24"/>
      <w:szCs w:val="24"/>
    </w:rPr>
  </w:style>
  <w:style w:type="table" w:styleId="Grigliatabella">
    <w:name w:val="Table Grid"/>
    <w:basedOn w:val="Tabellanormale"/>
    <w:uiPriority w:val="39"/>
    <w:rsid w:val="005708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5">
    <w:name w:val="Light List Accent 5"/>
    <w:basedOn w:val="Tabellanormale"/>
    <w:uiPriority w:val="61"/>
    <w:rsid w:val="001D05EA"/>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fondochiaro-Colore1">
    <w:name w:val="Light Shading Accent 1"/>
    <w:basedOn w:val="Tabellanormale"/>
    <w:uiPriority w:val="60"/>
    <w:rsid w:val="009E640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llegamentoipertestuale">
    <w:name w:val="Hyperlink"/>
    <w:basedOn w:val="Carpredefinitoparagrafo"/>
    <w:uiPriority w:val="99"/>
    <w:unhideWhenUsed/>
    <w:rsid w:val="00970442"/>
    <w:rPr>
      <w:color w:val="0000FF"/>
      <w:u w:val="single"/>
    </w:rPr>
  </w:style>
  <w:style w:type="character" w:styleId="Collegamentovisitato">
    <w:name w:val="FollowedHyperlink"/>
    <w:basedOn w:val="Carpredefinitoparagrafo"/>
    <w:uiPriority w:val="99"/>
    <w:semiHidden/>
    <w:unhideWhenUsed/>
    <w:rsid w:val="00970442"/>
    <w:rPr>
      <w:color w:val="800080"/>
      <w:u w:val="single"/>
    </w:rPr>
  </w:style>
  <w:style w:type="paragraph" w:customStyle="1" w:styleId="font5">
    <w:name w:val="font5"/>
    <w:basedOn w:val="Normale"/>
    <w:rsid w:val="00970442"/>
    <w:pPr>
      <w:spacing w:before="100" w:beforeAutospacing="1" w:after="100" w:afterAutospacing="1"/>
    </w:pPr>
    <w:rPr>
      <w:rFonts w:ascii="Tahoma" w:hAnsi="Tahoma" w:cs="Tahoma"/>
      <w:color w:val="000000"/>
      <w:sz w:val="16"/>
      <w:szCs w:val="16"/>
    </w:rPr>
  </w:style>
  <w:style w:type="paragraph" w:customStyle="1" w:styleId="font6">
    <w:name w:val="font6"/>
    <w:basedOn w:val="Normale"/>
    <w:rsid w:val="00970442"/>
    <w:pPr>
      <w:spacing w:before="100" w:beforeAutospacing="1" w:after="100" w:afterAutospacing="1"/>
    </w:pPr>
    <w:rPr>
      <w:rFonts w:ascii="Tahoma" w:hAnsi="Tahoma" w:cs="Tahoma"/>
      <w:b/>
      <w:bCs/>
      <w:color w:val="000000"/>
      <w:sz w:val="16"/>
      <w:szCs w:val="16"/>
    </w:rPr>
  </w:style>
  <w:style w:type="paragraph" w:customStyle="1" w:styleId="xl65">
    <w:name w:val="xl65"/>
    <w:basedOn w:val="Normale"/>
    <w:rsid w:val="00970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6">
    <w:name w:val="xl66"/>
    <w:basedOn w:val="Normale"/>
    <w:rsid w:val="00970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Normale"/>
    <w:rsid w:val="00970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9">
    <w:name w:val="xl69"/>
    <w:basedOn w:val="Normale"/>
    <w:rsid w:val="0097044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0">
    <w:name w:val="xl70"/>
    <w:basedOn w:val="Normale"/>
    <w:rsid w:val="00970442"/>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sz w:val="16"/>
      <w:szCs w:val="16"/>
    </w:rPr>
  </w:style>
  <w:style w:type="paragraph" w:customStyle="1" w:styleId="xl71">
    <w:name w:val="xl71"/>
    <w:basedOn w:val="Normale"/>
    <w:rsid w:val="00970442"/>
    <w:pPr>
      <w:spacing w:before="100" w:beforeAutospacing="1" w:after="100" w:afterAutospacing="1"/>
    </w:pPr>
    <w:rPr>
      <w:b/>
      <w:bCs/>
      <w:sz w:val="24"/>
      <w:szCs w:val="24"/>
    </w:rPr>
  </w:style>
  <w:style w:type="paragraph" w:customStyle="1" w:styleId="xl72">
    <w:name w:val="xl72"/>
    <w:basedOn w:val="Normale"/>
    <w:rsid w:val="00970442"/>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pPr>
    <w:rPr>
      <w:b/>
      <w:bCs/>
      <w:sz w:val="24"/>
      <w:szCs w:val="24"/>
    </w:rPr>
  </w:style>
  <w:style w:type="paragraph" w:customStyle="1" w:styleId="xl73">
    <w:name w:val="xl73"/>
    <w:basedOn w:val="Normale"/>
    <w:rsid w:val="00970442"/>
    <w:pPr>
      <w:pBdr>
        <w:top w:val="single" w:sz="4" w:space="0" w:color="auto"/>
        <w:bottom w:val="single" w:sz="4" w:space="0" w:color="auto"/>
      </w:pBdr>
      <w:shd w:val="clear" w:color="000000" w:fill="C0C0C0"/>
      <w:spacing w:before="100" w:beforeAutospacing="1" w:after="100" w:afterAutospacing="1"/>
      <w:jc w:val="center"/>
      <w:textAlignment w:val="center"/>
    </w:pPr>
    <w:rPr>
      <w:sz w:val="16"/>
      <w:szCs w:val="16"/>
    </w:rPr>
  </w:style>
  <w:style w:type="paragraph" w:customStyle="1" w:styleId="xl74">
    <w:name w:val="xl74"/>
    <w:basedOn w:val="Normale"/>
    <w:rsid w:val="00970442"/>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sz w:val="16"/>
      <w:szCs w:val="16"/>
    </w:rPr>
  </w:style>
  <w:style w:type="paragraph" w:customStyle="1" w:styleId="xl68">
    <w:name w:val="xl68"/>
    <w:basedOn w:val="Normale"/>
    <w:rsid w:val="0046397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styleId="Titolosommario">
    <w:name w:val="TOC Heading"/>
    <w:basedOn w:val="Titolo1"/>
    <w:next w:val="Normale"/>
    <w:uiPriority w:val="39"/>
    <w:unhideWhenUsed/>
    <w:qFormat/>
    <w:rsid w:val="00E14E65"/>
    <w:pPr>
      <w:keepLines/>
      <w:spacing w:before="240" w:line="259" w:lineRule="auto"/>
      <w:outlineLvl w:val="9"/>
    </w:pPr>
    <w:rPr>
      <w:rFonts w:asciiTheme="majorHAnsi" w:eastAsiaTheme="majorEastAsia" w:hAnsiTheme="majorHAnsi" w:cstheme="majorBidi"/>
      <w:i w:val="0"/>
      <w:snapToGrid/>
      <w:color w:val="365F91" w:themeColor="accent1" w:themeShade="BF"/>
      <w:sz w:val="32"/>
      <w:szCs w:val="32"/>
    </w:rPr>
  </w:style>
  <w:style w:type="paragraph" w:styleId="Sommario1">
    <w:name w:val="toc 1"/>
    <w:basedOn w:val="Normale"/>
    <w:next w:val="Normale"/>
    <w:autoRedefine/>
    <w:uiPriority w:val="39"/>
    <w:unhideWhenUsed/>
    <w:rsid w:val="00E14E65"/>
    <w:pPr>
      <w:spacing w:after="100"/>
    </w:pPr>
  </w:style>
  <w:style w:type="paragraph" w:styleId="Sommario2">
    <w:name w:val="toc 2"/>
    <w:basedOn w:val="Normale"/>
    <w:next w:val="Normale"/>
    <w:autoRedefine/>
    <w:uiPriority w:val="39"/>
    <w:unhideWhenUsed/>
    <w:rsid w:val="00076C41"/>
    <w:pPr>
      <w:spacing w:after="100"/>
      <w:ind w:left="200"/>
    </w:pPr>
  </w:style>
  <w:style w:type="paragraph" w:styleId="Sommario3">
    <w:name w:val="toc 3"/>
    <w:basedOn w:val="Normale"/>
    <w:next w:val="Normale"/>
    <w:autoRedefine/>
    <w:uiPriority w:val="39"/>
    <w:unhideWhenUsed/>
    <w:rsid w:val="00076C4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7098">
      <w:bodyDiv w:val="1"/>
      <w:marLeft w:val="0"/>
      <w:marRight w:val="0"/>
      <w:marTop w:val="0"/>
      <w:marBottom w:val="0"/>
      <w:divBdr>
        <w:top w:val="none" w:sz="0" w:space="0" w:color="auto"/>
        <w:left w:val="none" w:sz="0" w:space="0" w:color="auto"/>
        <w:bottom w:val="none" w:sz="0" w:space="0" w:color="auto"/>
        <w:right w:val="none" w:sz="0" w:space="0" w:color="auto"/>
      </w:divBdr>
    </w:div>
    <w:div w:id="111485426">
      <w:bodyDiv w:val="1"/>
      <w:marLeft w:val="0"/>
      <w:marRight w:val="0"/>
      <w:marTop w:val="0"/>
      <w:marBottom w:val="0"/>
      <w:divBdr>
        <w:top w:val="none" w:sz="0" w:space="0" w:color="auto"/>
        <w:left w:val="none" w:sz="0" w:space="0" w:color="auto"/>
        <w:bottom w:val="none" w:sz="0" w:space="0" w:color="auto"/>
        <w:right w:val="none" w:sz="0" w:space="0" w:color="auto"/>
      </w:divBdr>
    </w:div>
    <w:div w:id="304551643">
      <w:bodyDiv w:val="1"/>
      <w:marLeft w:val="0"/>
      <w:marRight w:val="0"/>
      <w:marTop w:val="0"/>
      <w:marBottom w:val="0"/>
      <w:divBdr>
        <w:top w:val="none" w:sz="0" w:space="0" w:color="auto"/>
        <w:left w:val="none" w:sz="0" w:space="0" w:color="auto"/>
        <w:bottom w:val="none" w:sz="0" w:space="0" w:color="auto"/>
        <w:right w:val="none" w:sz="0" w:space="0" w:color="auto"/>
      </w:divBdr>
    </w:div>
    <w:div w:id="327102987">
      <w:bodyDiv w:val="1"/>
      <w:marLeft w:val="0"/>
      <w:marRight w:val="0"/>
      <w:marTop w:val="0"/>
      <w:marBottom w:val="0"/>
      <w:divBdr>
        <w:top w:val="none" w:sz="0" w:space="0" w:color="auto"/>
        <w:left w:val="none" w:sz="0" w:space="0" w:color="auto"/>
        <w:bottom w:val="none" w:sz="0" w:space="0" w:color="auto"/>
        <w:right w:val="none" w:sz="0" w:space="0" w:color="auto"/>
      </w:divBdr>
    </w:div>
    <w:div w:id="455831716">
      <w:bodyDiv w:val="1"/>
      <w:marLeft w:val="0"/>
      <w:marRight w:val="0"/>
      <w:marTop w:val="0"/>
      <w:marBottom w:val="0"/>
      <w:divBdr>
        <w:top w:val="none" w:sz="0" w:space="0" w:color="auto"/>
        <w:left w:val="none" w:sz="0" w:space="0" w:color="auto"/>
        <w:bottom w:val="none" w:sz="0" w:space="0" w:color="auto"/>
        <w:right w:val="none" w:sz="0" w:space="0" w:color="auto"/>
      </w:divBdr>
    </w:div>
    <w:div w:id="461651572">
      <w:bodyDiv w:val="1"/>
      <w:marLeft w:val="0"/>
      <w:marRight w:val="0"/>
      <w:marTop w:val="0"/>
      <w:marBottom w:val="0"/>
      <w:divBdr>
        <w:top w:val="none" w:sz="0" w:space="0" w:color="auto"/>
        <w:left w:val="none" w:sz="0" w:space="0" w:color="auto"/>
        <w:bottom w:val="none" w:sz="0" w:space="0" w:color="auto"/>
        <w:right w:val="none" w:sz="0" w:space="0" w:color="auto"/>
      </w:divBdr>
    </w:div>
    <w:div w:id="501042329">
      <w:bodyDiv w:val="1"/>
      <w:marLeft w:val="0"/>
      <w:marRight w:val="0"/>
      <w:marTop w:val="0"/>
      <w:marBottom w:val="0"/>
      <w:divBdr>
        <w:top w:val="none" w:sz="0" w:space="0" w:color="auto"/>
        <w:left w:val="none" w:sz="0" w:space="0" w:color="auto"/>
        <w:bottom w:val="none" w:sz="0" w:space="0" w:color="auto"/>
        <w:right w:val="none" w:sz="0" w:space="0" w:color="auto"/>
      </w:divBdr>
    </w:div>
    <w:div w:id="614597860">
      <w:bodyDiv w:val="1"/>
      <w:marLeft w:val="0"/>
      <w:marRight w:val="0"/>
      <w:marTop w:val="0"/>
      <w:marBottom w:val="0"/>
      <w:divBdr>
        <w:top w:val="none" w:sz="0" w:space="0" w:color="auto"/>
        <w:left w:val="none" w:sz="0" w:space="0" w:color="auto"/>
        <w:bottom w:val="none" w:sz="0" w:space="0" w:color="auto"/>
        <w:right w:val="none" w:sz="0" w:space="0" w:color="auto"/>
      </w:divBdr>
    </w:div>
    <w:div w:id="642546246">
      <w:bodyDiv w:val="1"/>
      <w:marLeft w:val="0"/>
      <w:marRight w:val="0"/>
      <w:marTop w:val="0"/>
      <w:marBottom w:val="0"/>
      <w:divBdr>
        <w:top w:val="none" w:sz="0" w:space="0" w:color="auto"/>
        <w:left w:val="none" w:sz="0" w:space="0" w:color="auto"/>
        <w:bottom w:val="none" w:sz="0" w:space="0" w:color="auto"/>
        <w:right w:val="none" w:sz="0" w:space="0" w:color="auto"/>
      </w:divBdr>
    </w:div>
    <w:div w:id="766148304">
      <w:bodyDiv w:val="1"/>
      <w:marLeft w:val="0"/>
      <w:marRight w:val="0"/>
      <w:marTop w:val="0"/>
      <w:marBottom w:val="0"/>
      <w:divBdr>
        <w:top w:val="none" w:sz="0" w:space="0" w:color="auto"/>
        <w:left w:val="none" w:sz="0" w:space="0" w:color="auto"/>
        <w:bottom w:val="none" w:sz="0" w:space="0" w:color="auto"/>
        <w:right w:val="none" w:sz="0" w:space="0" w:color="auto"/>
      </w:divBdr>
    </w:div>
    <w:div w:id="809439289">
      <w:bodyDiv w:val="1"/>
      <w:marLeft w:val="0"/>
      <w:marRight w:val="0"/>
      <w:marTop w:val="0"/>
      <w:marBottom w:val="0"/>
      <w:divBdr>
        <w:top w:val="none" w:sz="0" w:space="0" w:color="auto"/>
        <w:left w:val="none" w:sz="0" w:space="0" w:color="auto"/>
        <w:bottom w:val="none" w:sz="0" w:space="0" w:color="auto"/>
        <w:right w:val="none" w:sz="0" w:space="0" w:color="auto"/>
      </w:divBdr>
    </w:div>
    <w:div w:id="849220668">
      <w:bodyDiv w:val="1"/>
      <w:marLeft w:val="0"/>
      <w:marRight w:val="0"/>
      <w:marTop w:val="0"/>
      <w:marBottom w:val="0"/>
      <w:divBdr>
        <w:top w:val="none" w:sz="0" w:space="0" w:color="auto"/>
        <w:left w:val="none" w:sz="0" w:space="0" w:color="auto"/>
        <w:bottom w:val="none" w:sz="0" w:space="0" w:color="auto"/>
        <w:right w:val="none" w:sz="0" w:space="0" w:color="auto"/>
      </w:divBdr>
    </w:div>
    <w:div w:id="920262688">
      <w:bodyDiv w:val="1"/>
      <w:marLeft w:val="0"/>
      <w:marRight w:val="0"/>
      <w:marTop w:val="0"/>
      <w:marBottom w:val="0"/>
      <w:divBdr>
        <w:top w:val="none" w:sz="0" w:space="0" w:color="auto"/>
        <w:left w:val="none" w:sz="0" w:space="0" w:color="auto"/>
        <w:bottom w:val="none" w:sz="0" w:space="0" w:color="auto"/>
        <w:right w:val="none" w:sz="0" w:space="0" w:color="auto"/>
      </w:divBdr>
    </w:div>
    <w:div w:id="1157499909">
      <w:bodyDiv w:val="1"/>
      <w:marLeft w:val="0"/>
      <w:marRight w:val="0"/>
      <w:marTop w:val="0"/>
      <w:marBottom w:val="0"/>
      <w:divBdr>
        <w:top w:val="none" w:sz="0" w:space="0" w:color="auto"/>
        <w:left w:val="none" w:sz="0" w:space="0" w:color="auto"/>
        <w:bottom w:val="none" w:sz="0" w:space="0" w:color="auto"/>
        <w:right w:val="none" w:sz="0" w:space="0" w:color="auto"/>
      </w:divBdr>
    </w:div>
    <w:div w:id="1230917290">
      <w:bodyDiv w:val="1"/>
      <w:marLeft w:val="0"/>
      <w:marRight w:val="0"/>
      <w:marTop w:val="0"/>
      <w:marBottom w:val="0"/>
      <w:divBdr>
        <w:top w:val="none" w:sz="0" w:space="0" w:color="auto"/>
        <w:left w:val="none" w:sz="0" w:space="0" w:color="auto"/>
        <w:bottom w:val="none" w:sz="0" w:space="0" w:color="auto"/>
        <w:right w:val="none" w:sz="0" w:space="0" w:color="auto"/>
      </w:divBdr>
    </w:div>
    <w:div w:id="1547645585">
      <w:bodyDiv w:val="1"/>
      <w:marLeft w:val="0"/>
      <w:marRight w:val="0"/>
      <w:marTop w:val="0"/>
      <w:marBottom w:val="0"/>
      <w:divBdr>
        <w:top w:val="none" w:sz="0" w:space="0" w:color="auto"/>
        <w:left w:val="none" w:sz="0" w:space="0" w:color="auto"/>
        <w:bottom w:val="none" w:sz="0" w:space="0" w:color="auto"/>
        <w:right w:val="none" w:sz="0" w:space="0" w:color="auto"/>
      </w:divBdr>
    </w:div>
    <w:div w:id="1585261225">
      <w:bodyDiv w:val="1"/>
      <w:marLeft w:val="0"/>
      <w:marRight w:val="0"/>
      <w:marTop w:val="0"/>
      <w:marBottom w:val="0"/>
      <w:divBdr>
        <w:top w:val="none" w:sz="0" w:space="0" w:color="auto"/>
        <w:left w:val="none" w:sz="0" w:space="0" w:color="auto"/>
        <w:bottom w:val="none" w:sz="0" w:space="0" w:color="auto"/>
        <w:right w:val="none" w:sz="0" w:space="0" w:color="auto"/>
      </w:divBdr>
    </w:div>
    <w:div w:id="1701128782">
      <w:bodyDiv w:val="1"/>
      <w:marLeft w:val="0"/>
      <w:marRight w:val="0"/>
      <w:marTop w:val="0"/>
      <w:marBottom w:val="0"/>
      <w:divBdr>
        <w:top w:val="none" w:sz="0" w:space="0" w:color="auto"/>
        <w:left w:val="none" w:sz="0" w:space="0" w:color="auto"/>
        <w:bottom w:val="none" w:sz="0" w:space="0" w:color="auto"/>
        <w:right w:val="none" w:sz="0" w:space="0" w:color="auto"/>
      </w:divBdr>
    </w:div>
    <w:div w:id="1742950049">
      <w:bodyDiv w:val="1"/>
      <w:marLeft w:val="0"/>
      <w:marRight w:val="0"/>
      <w:marTop w:val="0"/>
      <w:marBottom w:val="0"/>
      <w:divBdr>
        <w:top w:val="none" w:sz="0" w:space="0" w:color="auto"/>
        <w:left w:val="none" w:sz="0" w:space="0" w:color="auto"/>
        <w:bottom w:val="none" w:sz="0" w:space="0" w:color="auto"/>
        <w:right w:val="none" w:sz="0" w:space="0" w:color="auto"/>
      </w:divBdr>
    </w:div>
    <w:div w:id="1828738710">
      <w:bodyDiv w:val="1"/>
      <w:marLeft w:val="0"/>
      <w:marRight w:val="0"/>
      <w:marTop w:val="0"/>
      <w:marBottom w:val="0"/>
      <w:divBdr>
        <w:top w:val="none" w:sz="0" w:space="0" w:color="auto"/>
        <w:left w:val="none" w:sz="0" w:space="0" w:color="auto"/>
        <w:bottom w:val="none" w:sz="0" w:space="0" w:color="auto"/>
        <w:right w:val="none" w:sz="0" w:space="0" w:color="auto"/>
      </w:divBdr>
    </w:div>
    <w:div w:id="1923179069">
      <w:bodyDiv w:val="1"/>
      <w:marLeft w:val="0"/>
      <w:marRight w:val="0"/>
      <w:marTop w:val="0"/>
      <w:marBottom w:val="0"/>
      <w:divBdr>
        <w:top w:val="none" w:sz="0" w:space="0" w:color="auto"/>
        <w:left w:val="none" w:sz="0" w:space="0" w:color="auto"/>
        <w:bottom w:val="none" w:sz="0" w:space="0" w:color="auto"/>
        <w:right w:val="none" w:sz="0" w:space="0" w:color="auto"/>
      </w:divBdr>
    </w:div>
    <w:div w:id="1949046033">
      <w:bodyDiv w:val="1"/>
      <w:marLeft w:val="0"/>
      <w:marRight w:val="0"/>
      <w:marTop w:val="0"/>
      <w:marBottom w:val="0"/>
      <w:divBdr>
        <w:top w:val="none" w:sz="0" w:space="0" w:color="auto"/>
        <w:left w:val="none" w:sz="0" w:space="0" w:color="auto"/>
        <w:bottom w:val="none" w:sz="0" w:space="0" w:color="auto"/>
        <w:right w:val="none" w:sz="0" w:space="0" w:color="auto"/>
      </w:divBdr>
    </w:div>
    <w:div w:id="2031027640">
      <w:bodyDiv w:val="1"/>
      <w:marLeft w:val="0"/>
      <w:marRight w:val="0"/>
      <w:marTop w:val="0"/>
      <w:marBottom w:val="0"/>
      <w:divBdr>
        <w:top w:val="none" w:sz="0" w:space="0" w:color="auto"/>
        <w:left w:val="none" w:sz="0" w:space="0" w:color="auto"/>
        <w:bottom w:val="none" w:sz="0" w:space="0" w:color="auto"/>
        <w:right w:val="none" w:sz="0" w:space="0" w:color="auto"/>
      </w:divBdr>
    </w:div>
    <w:div w:id="2044550299">
      <w:bodyDiv w:val="1"/>
      <w:marLeft w:val="0"/>
      <w:marRight w:val="0"/>
      <w:marTop w:val="0"/>
      <w:marBottom w:val="0"/>
      <w:divBdr>
        <w:top w:val="none" w:sz="0" w:space="0" w:color="auto"/>
        <w:left w:val="none" w:sz="0" w:space="0" w:color="auto"/>
        <w:bottom w:val="none" w:sz="0" w:space="0" w:color="auto"/>
        <w:right w:val="none" w:sz="0" w:space="0" w:color="auto"/>
      </w:divBdr>
    </w:div>
    <w:div w:id="2081445493">
      <w:bodyDiv w:val="1"/>
      <w:marLeft w:val="0"/>
      <w:marRight w:val="0"/>
      <w:marTop w:val="0"/>
      <w:marBottom w:val="0"/>
      <w:divBdr>
        <w:top w:val="none" w:sz="0" w:space="0" w:color="auto"/>
        <w:left w:val="none" w:sz="0" w:space="0" w:color="auto"/>
        <w:bottom w:val="none" w:sz="0" w:space="0" w:color="auto"/>
        <w:right w:val="none" w:sz="0" w:space="0" w:color="auto"/>
      </w:divBdr>
    </w:div>
    <w:div w:id="2099710155">
      <w:bodyDiv w:val="1"/>
      <w:marLeft w:val="0"/>
      <w:marRight w:val="0"/>
      <w:marTop w:val="0"/>
      <w:marBottom w:val="0"/>
      <w:divBdr>
        <w:top w:val="none" w:sz="0" w:space="0" w:color="auto"/>
        <w:left w:val="none" w:sz="0" w:space="0" w:color="auto"/>
        <w:bottom w:val="none" w:sz="0" w:space="0" w:color="auto"/>
        <w:right w:val="none" w:sz="0" w:space="0" w:color="auto"/>
      </w:divBdr>
    </w:div>
    <w:div w:id="2100979342">
      <w:bodyDiv w:val="1"/>
      <w:marLeft w:val="0"/>
      <w:marRight w:val="0"/>
      <w:marTop w:val="0"/>
      <w:marBottom w:val="0"/>
      <w:divBdr>
        <w:top w:val="none" w:sz="0" w:space="0" w:color="auto"/>
        <w:left w:val="none" w:sz="0" w:space="0" w:color="auto"/>
        <w:bottom w:val="none" w:sz="0" w:space="0" w:color="auto"/>
        <w:right w:val="none" w:sz="0" w:space="0" w:color="auto"/>
      </w:divBdr>
    </w:div>
    <w:div w:id="21149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m-p0253\Documents\DirRUF\lettera_Settor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0363A-FC87-4889-85E7-CC5F0B7C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lettera_Settori.dot</Template>
  <TotalTime>0</TotalTime>
  <Pages>27</Pages>
  <Words>9191</Words>
  <Characters>52392</Characters>
  <Application>Microsoft Office Word</Application>
  <DocSecurity>0</DocSecurity>
  <Lines>436</Lines>
  <Paragraphs>122</Paragraphs>
  <ScaleCrop>false</ScaleCrop>
  <HeadingPairs>
    <vt:vector size="2" baseType="variant">
      <vt:variant>
        <vt:lpstr>Titolo</vt:lpstr>
      </vt:variant>
      <vt:variant>
        <vt:i4>1</vt:i4>
      </vt:variant>
    </vt:vector>
  </HeadingPairs>
  <TitlesOfParts>
    <vt:vector size="1" baseType="lpstr">
      <vt:lpstr/>
    </vt:vector>
  </TitlesOfParts>
  <Manager>Dirigente Direzione Didattica</Manager>
  <Company>Politecnico di Bari</Company>
  <LinksUpToDate>false</LinksUpToDate>
  <CharactersWithSpaces>61461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amm-p0253</dc:creator>
  <cp:lastModifiedBy>Stella</cp:lastModifiedBy>
  <cp:revision>2</cp:revision>
  <cp:lastPrinted>2016-12-16T08:30:00Z</cp:lastPrinted>
  <dcterms:created xsi:type="dcterms:W3CDTF">2017-03-29T09:55:00Z</dcterms:created>
  <dcterms:modified xsi:type="dcterms:W3CDTF">2017-03-29T09:55:00Z</dcterms:modified>
</cp:coreProperties>
</file>