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6B2A0" w14:textId="77777777" w:rsidR="006B7B67" w:rsidRDefault="006B7B67" w:rsidP="00C82D67">
      <w:pPr>
        <w:spacing w:after="0" w:line="240" w:lineRule="auto"/>
        <w:jc w:val="center"/>
        <w:rPr>
          <w:rFonts w:ascii="Garamond" w:eastAsia="Times New Roman" w:hAnsi="Garamond" w:cs="Times New Roman"/>
          <w:sz w:val="32"/>
          <w:szCs w:val="32"/>
          <w:lang w:eastAsia="it-IT"/>
        </w:rPr>
      </w:pPr>
    </w:p>
    <w:p w14:paraId="6D75D8C8" w14:textId="6E6194BB" w:rsidR="006B7B67" w:rsidRDefault="006B7B67" w:rsidP="00C82D67">
      <w:pPr>
        <w:spacing w:after="0" w:line="240" w:lineRule="auto"/>
        <w:jc w:val="center"/>
        <w:rPr>
          <w:rFonts w:ascii="Garamond" w:eastAsia="Times New Roman" w:hAnsi="Garamond" w:cs="Times New Roman"/>
          <w:sz w:val="32"/>
          <w:szCs w:val="32"/>
          <w:lang w:eastAsia="it-IT"/>
        </w:rPr>
      </w:pPr>
      <w:r>
        <w:rPr>
          <w:noProof/>
        </w:rPr>
        <w:drawing>
          <wp:inline distT="0" distB="0" distL="0" distR="0" wp14:anchorId="3093C2F2" wp14:editId="2FAA7EE1">
            <wp:extent cx="650240" cy="930275"/>
            <wp:effectExtent l="0" t="0" r="0" b="3175"/>
            <wp:docPr id="1292171324" name="image2.jpeg"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71324" name="image2.jpeg" descr="Immagine che contiene testo, Carattere, logo, Elementi grafici&#10;&#10;Descrizione generata automaticamente"/>
                    <pic:cNvPicPr>
                      <a:picLocks noChangeAspect="1"/>
                    </pic:cNvPicPr>
                  </pic:nvPicPr>
                  <pic:blipFill>
                    <a:blip r:embed="rId8" cstate="print"/>
                    <a:stretch>
                      <a:fillRect/>
                    </a:stretch>
                  </pic:blipFill>
                  <pic:spPr>
                    <a:xfrm>
                      <a:off x="0" y="0"/>
                      <a:ext cx="650240" cy="930275"/>
                    </a:xfrm>
                    <a:prstGeom prst="rect">
                      <a:avLst/>
                    </a:prstGeom>
                  </pic:spPr>
                </pic:pic>
              </a:graphicData>
            </a:graphic>
          </wp:inline>
        </w:drawing>
      </w:r>
    </w:p>
    <w:p w14:paraId="7408C022" w14:textId="77777777" w:rsidR="006B7B67" w:rsidRDefault="006B7B67" w:rsidP="00C82D67">
      <w:pPr>
        <w:spacing w:after="0" w:line="240" w:lineRule="auto"/>
        <w:jc w:val="center"/>
        <w:rPr>
          <w:rFonts w:ascii="Garamond" w:eastAsia="Times New Roman" w:hAnsi="Garamond" w:cs="Times New Roman"/>
          <w:sz w:val="32"/>
          <w:szCs w:val="32"/>
          <w:lang w:eastAsia="it-IT"/>
        </w:rPr>
      </w:pPr>
    </w:p>
    <w:p w14:paraId="73F7D712" w14:textId="5D0A6D1C" w:rsidR="008279B4" w:rsidRPr="00676064" w:rsidRDefault="00676064" w:rsidP="00C82D67">
      <w:pPr>
        <w:spacing w:after="0" w:line="240" w:lineRule="auto"/>
        <w:jc w:val="center"/>
        <w:rPr>
          <w:rFonts w:ascii="Garamond" w:eastAsia="Times New Roman" w:hAnsi="Garamond" w:cs="Times New Roman"/>
          <w:sz w:val="32"/>
          <w:szCs w:val="32"/>
          <w:lang w:eastAsia="it-IT"/>
        </w:rPr>
      </w:pPr>
      <w:r w:rsidRPr="00676064">
        <w:rPr>
          <w:rFonts w:ascii="Garamond" w:eastAsia="Times New Roman" w:hAnsi="Garamond" w:cs="Times New Roman"/>
          <w:sz w:val="32"/>
          <w:szCs w:val="32"/>
          <w:lang w:eastAsia="it-IT"/>
        </w:rPr>
        <w:t xml:space="preserve">Relazione </w:t>
      </w:r>
      <w:r>
        <w:rPr>
          <w:rFonts w:ascii="Garamond" w:eastAsia="Times New Roman" w:hAnsi="Garamond" w:cs="Times New Roman"/>
          <w:sz w:val="32"/>
          <w:szCs w:val="32"/>
          <w:lang w:eastAsia="it-IT"/>
        </w:rPr>
        <w:t>s</w:t>
      </w:r>
      <w:r w:rsidRPr="00676064">
        <w:rPr>
          <w:rFonts w:ascii="Garamond" w:eastAsia="Times New Roman" w:hAnsi="Garamond" w:cs="Times New Roman"/>
          <w:sz w:val="32"/>
          <w:szCs w:val="32"/>
          <w:lang w:eastAsia="it-IT"/>
        </w:rPr>
        <w:t xml:space="preserve">ull’attività </w:t>
      </w:r>
      <w:r>
        <w:rPr>
          <w:rFonts w:ascii="Garamond" w:eastAsia="Times New Roman" w:hAnsi="Garamond" w:cs="Times New Roman"/>
          <w:sz w:val="32"/>
          <w:szCs w:val="32"/>
          <w:lang w:eastAsia="it-IT"/>
        </w:rPr>
        <w:t>d</w:t>
      </w:r>
      <w:r w:rsidRPr="00676064">
        <w:rPr>
          <w:rFonts w:ascii="Garamond" w:eastAsia="Times New Roman" w:hAnsi="Garamond" w:cs="Times New Roman"/>
          <w:sz w:val="32"/>
          <w:szCs w:val="32"/>
          <w:lang w:eastAsia="it-IT"/>
        </w:rPr>
        <w:t xml:space="preserve">i </w:t>
      </w:r>
      <w:r>
        <w:rPr>
          <w:rFonts w:ascii="Garamond" w:eastAsia="Times New Roman" w:hAnsi="Garamond" w:cs="Times New Roman"/>
          <w:sz w:val="32"/>
          <w:szCs w:val="32"/>
          <w:lang w:eastAsia="it-IT"/>
        </w:rPr>
        <w:t>m</w:t>
      </w:r>
      <w:r w:rsidRPr="00676064">
        <w:rPr>
          <w:rFonts w:ascii="Garamond" w:eastAsia="Times New Roman" w:hAnsi="Garamond" w:cs="Times New Roman"/>
          <w:sz w:val="32"/>
          <w:szCs w:val="32"/>
          <w:lang w:eastAsia="it-IT"/>
        </w:rPr>
        <w:t>onitoraggio</w:t>
      </w:r>
      <w:r>
        <w:rPr>
          <w:rFonts w:ascii="Garamond" w:eastAsia="Times New Roman" w:hAnsi="Garamond" w:cs="Times New Roman"/>
          <w:sz w:val="32"/>
          <w:szCs w:val="32"/>
          <w:lang w:eastAsia="it-IT"/>
        </w:rPr>
        <w:t xml:space="preserve"> s</w:t>
      </w:r>
      <w:r w:rsidRPr="00676064">
        <w:rPr>
          <w:rFonts w:ascii="Garamond" w:eastAsia="Times New Roman" w:hAnsi="Garamond" w:cs="Times New Roman"/>
          <w:sz w:val="32"/>
          <w:szCs w:val="32"/>
          <w:lang w:eastAsia="it-IT"/>
        </w:rPr>
        <w:t xml:space="preserve">ull’attuazione </w:t>
      </w:r>
      <w:r>
        <w:rPr>
          <w:rFonts w:ascii="Garamond" w:eastAsia="Times New Roman" w:hAnsi="Garamond" w:cs="Times New Roman"/>
          <w:sz w:val="32"/>
          <w:szCs w:val="32"/>
          <w:lang w:eastAsia="it-IT"/>
        </w:rPr>
        <w:t>d</w:t>
      </w:r>
      <w:r w:rsidRPr="00676064">
        <w:rPr>
          <w:rFonts w:ascii="Garamond" w:eastAsia="Times New Roman" w:hAnsi="Garamond" w:cs="Times New Roman"/>
          <w:sz w:val="32"/>
          <w:szCs w:val="32"/>
          <w:lang w:eastAsia="it-IT"/>
        </w:rPr>
        <w:t xml:space="preserve">el Codice Etico </w:t>
      </w:r>
      <w:r>
        <w:rPr>
          <w:rFonts w:ascii="Garamond" w:eastAsia="Times New Roman" w:hAnsi="Garamond" w:cs="Times New Roman"/>
          <w:sz w:val="32"/>
          <w:szCs w:val="32"/>
          <w:lang w:eastAsia="it-IT"/>
        </w:rPr>
        <w:t>e</w:t>
      </w:r>
      <w:r w:rsidRPr="00676064">
        <w:rPr>
          <w:rFonts w:ascii="Garamond" w:eastAsia="Times New Roman" w:hAnsi="Garamond" w:cs="Times New Roman"/>
          <w:sz w:val="32"/>
          <w:szCs w:val="32"/>
          <w:lang w:eastAsia="it-IT"/>
        </w:rPr>
        <w:t xml:space="preserve"> </w:t>
      </w:r>
      <w:r>
        <w:rPr>
          <w:rFonts w:ascii="Garamond" w:eastAsia="Times New Roman" w:hAnsi="Garamond" w:cs="Times New Roman"/>
          <w:sz w:val="32"/>
          <w:szCs w:val="32"/>
          <w:lang w:eastAsia="it-IT"/>
        </w:rPr>
        <w:t>d</w:t>
      </w:r>
      <w:r w:rsidRPr="00676064">
        <w:rPr>
          <w:rFonts w:ascii="Garamond" w:eastAsia="Times New Roman" w:hAnsi="Garamond" w:cs="Times New Roman"/>
          <w:sz w:val="32"/>
          <w:szCs w:val="32"/>
          <w:lang w:eastAsia="it-IT"/>
        </w:rPr>
        <w:t xml:space="preserve">i Comportamento </w:t>
      </w:r>
    </w:p>
    <w:p w14:paraId="0602D3F7" w14:textId="77777777" w:rsidR="00456E9B" w:rsidRDefault="00676064" w:rsidP="00C82D67">
      <w:pPr>
        <w:spacing w:after="0" w:line="240" w:lineRule="auto"/>
        <w:jc w:val="center"/>
        <w:rPr>
          <w:rFonts w:ascii="Garamond" w:eastAsia="Times New Roman" w:hAnsi="Garamond" w:cs="Times New Roman"/>
          <w:sz w:val="32"/>
          <w:szCs w:val="32"/>
          <w:lang w:eastAsia="it-IT"/>
        </w:rPr>
      </w:pPr>
      <w:r w:rsidRPr="00676064">
        <w:rPr>
          <w:rFonts w:ascii="Garamond" w:eastAsia="Times New Roman" w:hAnsi="Garamond" w:cs="Times New Roman"/>
          <w:sz w:val="32"/>
          <w:szCs w:val="32"/>
          <w:lang w:eastAsia="it-IT"/>
        </w:rPr>
        <w:t>(Art. 15 Dpr 62/2013)</w:t>
      </w:r>
      <w:r w:rsidRPr="00676064">
        <w:rPr>
          <w:rFonts w:ascii="Garamond" w:eastAsia="Times New Roman" w:hAnsi="Garamond" w:cs="Times New Roman"/>
          <w:sz w:val="32"/>
          <w:szCs w:val="32"/>
          <w:lang w:eastAsia="it-IT"/>
        </w:rPr>
        <w:br/>
      </w:r>
    </w:p>
    <w:p w14:paraId="358A591D" w14:textId="77777777" w:rsidR="00C82D67" w:rsidRPr="00676064" w:rsidRDefault="00676064" w:rsidP="00C82D67">
      <w:pPr>
        <w:spacing w:after="0" w:line="240" w:lineRule="auto"/>
        <w:jc w:val="center"/>
        <w:rPr>
          <w:rFonts w:ascii="Garamond" w:eastAsia="Times New Roman" w:hAnsi="Garamond" w:cs="Times New Roman"/>
          <w:sz w:val="32"/>
          <w:szCs w:val="32"/>
          <w:lang w:eastAsia="it-IT"/>
        </w:rPr>
      </w:pPr>
      <w:r w:rsidRPr="00676064">
        <w:rPr>
          <w:rFonts w:ascii="Garamond" w:eastAsia="Times New Roman" w:hAnsi="Garamond" w:cs="Times New Roman"/>
          <w:sz w:val="32"/>
          <w:szCs w:val="32"/>
          <w:lang w:eastAsia="it-IT"/>
        </w:rPr>
        <w:t>Anno 20</w:t>
      </w:r>
      <w:r w:rsidR="00701C49">
        <w:rPr>
          <w:rFonts w:ascii="Garamond" w:eastAsia="Times New Roman" w:hAnsi="Garamond" w:cs="Times New Roman"/>
          <w:sz w:val="32"/>
          <w:szCs w:val="32"/>
          <w:lang w:eastAsia="it-IT"/>
        </w:rPr>
        <w:t>2</w:t>
      </w:r>
      <w:r w:rsidR="00840A66">
        <w:rPr>
          <w:rFonts w:ascii="Garamond" w:eastAsia="Times New Roman" w:hAnsi="Garamond" w:cs="Times New Roman"/>
          <w:sz w:val="32"/>
          <w:szCs w:val="32"/>
          <w:lang w:eastAsia="it-IT"/>
        </w:rPr>
        <w:t>1</w:t>
      </w:r>
    </w:p>
    <w:p w14:paraId="178971B9" w14:textId="77777777" w:rsidR="00C82D67" w:rsidRPr="00676064" w:rsidRDefault="00C82D67" w:rsidP="00C82D67">
      <w:pPr>
        <w:spacing w:after="0" w:line="240" w:lineRule="auto"/>
        <w:jc w:val="center"/>
        <w:rPr>
          <w:rFonts w:ascii="Garamond" w:eastAsia="Times New Roman" w:hAnsi="Garamond" w:cs="Times New Roman"/>
          <w:sz w:val="32"/>
          <w:szCs w:val="32"/>
          <w:lang w:eastAsia="it-IT"/>
        </w:rPr>
      </w:pPr>
    </w:p>
    <w:p w14:paraId="0EDC84ED" w14:textId="77777777" w:rsidR="00EB013A" w:rsidRPr="00676064" w:rsidRDefault="00EB013A" w:rsidP="00C82D67">
      <w:pPr>
        <w:spacing w:after="0" w:line="240" w:lineRule="auto"/>
        <w:jc w:val="center"/>
        <w:rPr>
          <w:rFonts w:ascii="Garamond" w:eastAsia="Times New Roman" w:hAnsi="Garamond" w:cs="Times New Roman"/>
          <w:sz w:val="32"/>
          <w:szCs w:val="32"/>
          <w:lang w:eastAsia="it-IT"/>
        </w:rPr>
      </w:pPr>
    </w:p>
    <w:p w14:paraId="1E3A6AD4" w14:textId="0FE36938" w:rsidR="008C7CFB" w:rsidRDefault="008C7CFB" w:rsidP="009E04E4">
      <w:pPr>
        <w:spacing w:after="0" w:line="276" w:lineRule="auto"/>
        <w:jc w:val="both"/>
        <w:rPr>
          <w:rStyle w:val="markedcontent"/>
          <w:rFonts w:ascii="Garamond" w:hAnsi="Garamond"/>
          <w:sz w:val="28"/>
          <w:szCs w:val="28"/>
        </w:rPr>
      </w:pPr>
      <w:r w:rsidRPr="00EB013A">
        <w:rPr>
          <w:rStyle w:val="markedcontent"/>
          <w:rFonts w:ascii="Garamond" w:hAnsi="Garamond"/>
          <w:sz w:val="28"/>
          <w:szCs w:val="28"/>
        </w:rPr>
        <w:t>La presente relazione</w:t>
      </w:r>
      <w:r>
        <w:rPr>
          <w:rStyle w:val="markedcontent"/>
          <w:rFonts w:ascii="Garamond" w:hAnsi="Garamond"/>
          <w:sz w:val="28"/>
          <w:szCs w:val="28"/>
        </w:rPr>
        <w:t xml:space="preserve"> è</w:t>
      </w:r>
      <w:r w:rsidRPr="00EB013A">
        <w:rPr>
          <w:rStyle w:val="markedcontent"/>
          <w:rFonts w:ascii="Garamond" w:hAnsi="Garamond"/>
          <w:sz w:val="28"/>
          <w:szCs w:val="28"/>
        </w:rPr>
        <w:t xml:space="preserve"> predisposta in </w:t>
      </w:r>
      <w:r>
        <w:rPr>
          <w:rStyle w:val="markedcontent"/>
          <w:rFonts w:ascii="Garamond" w:hAnsi="Garamond"/>
          <w:sz w:val="28"/>
          <w:szCs w:val="28"/>
        </w:rPr>
        <w:t xml:space="preserve">attuazione </w:t>
      </w:r>
      <w:r w:rsidRPr="00EB013A">
        <w:rPr>
          <w:rStyle w:val="markedcontent"/>
          <w:rFonts w:ascii="Garamond" w:hAnsi="Garamond"/>
          <w:sz w:val="28"/>
          <w:szCs w:val="28"/>
        </w:rPr>
        <w:t>di quanto disposto dall'articolo 15, 3°comma del D.P.R. 16 aprile 2013, n. 62 “</w:t>
      </w:r>
      <w:r w:rsidRPr="00B7633A">
        <w:rPr>
          <w:rStyle w:val="markedcontent"/>
          <w:rFonts w:ascii="Garamond" w:hAnsi="Garamond"/>
          <w:i/>
          <w:sz w:val="28"/>
          <w:szCs w:val="28"/>
        </w:rPr>
        <w:t>Regolamento recante Codice di comportamento dei dipendenti pubblici, a norma dell'art. 54 del decreto legislativo 30 marzo 2001, n. 165</w:t>
      </w:r>
      <w:r w:rsidRPr="00EB013A">
        <w:rPr>
          <w:rStyle w:val="markedcontent"/>
          <w:rFonts w:ascii="Garamond" w:hAnsi="Garamond"/>
          <w:sz w:val="28"/>
          <w:szCs w:val="28"/>
        </w:rPr>
        <w:t>”</w:t>
      </w:r>
      <w:r>
        <w:rPr>
          <w:rStyle w:val="markedcontent"/>
          <w:rFonts w:ascii="Garamond" w:hAnsi="Garamond"/>
          <w:sz w:val="28"/>
          <w:szCs w:val="28"/>
        </w:rPr>
        <w:t xml:space="preserve"> che prevede il </w:t>
      </w:r>
      <w:r w:rsidRPr="00EB013A">
        <w:rPr>
          <w:rStyle w:val="markedcontent"/>
          <w:rFonts w:ascii="Garamond" w:hAnsi="Garamond"/>
          <w:sz w:val="28"/>
          <w:szCs w:val="28"/>
        </w:rPr>
        <w:t xml:space="preserve">monitoraggio annuale </w:t>
      </w:r>
      <w:r>
        <w:rPr>
          <w:rStyle w:val="markedcontent"/>
          <w:rFonts w:ascii="Garamond" w:hAnsi="Garamond"/>
          <w:sz w:val="28"/>
          <w:szCs w:val="28"/>
        </w:rPr>
        <w:t xml:space="preserve">sull’attuazione del codice di comportamento e </w:t>
      </w:r>
      <w:r w:rsidRPr="00EB013A">
        <w:rPr>
          <w:rStyle w:val="markedcontent"/>
          <w:rFonts w:ascii="Garamond" w:hAnsi="Garamond"/>
          <w:sz w:val="28"/>
          <w:szCs w:val="28"/>
        </w:rPr>
        <w:t>la pubblicazione dei relativi risultati sul sito istituzionale</w:t>
      </w:r>
      <w:r w:rsidRPr="0037554F">
        <w:rPr>
          <w:rStyle w:val="markedcontent"/>
          <w:rFonts w:ascii="Garamond" w:hAnsi="Garamond"/>
          <w:sz w:val="28"/>
          <w:szCs w:val="28"/>
        </w:rPr>
        <w:t xml:space="preserve"> </w:t>
      </w:r>
      <w:r w:rsidRPr="00EB013A">
        <w:rPr>
          <w:rStyle w:val="markedcontent"/>
          <w:rFonts w:ascii="Garamond" w:hAnsi="Garamond"/>
          <w:sz w:val="28"/>
          <w:szCs w:val="28"/>
        </w:rPr>
        <w:t>a cura del Responsabile della Prevenzione della Corruzione e della Trasparenza</w:t>
      </w:r>
      <w:r>
        <w:rPr>
          <w:rStyle w:val="markedcontent"/>
          <w:rFonts w:ascii="Garamond" w:hAnsi="Garamond"/>
          <w:sz w:val="28"/>
          <w:szCs w:val="28"/>
        </w:rPr>
        <w:t>.</w:t>
      </w:r>
    </w:p>
    <w:p w14:paraId="422104C2" w14:textId="77777777" w:rsidR="008C7CFB" w:rsidRDefault="008C7CFB" w:rsidP="008C7CFB">
      <w:pPr>
        <w:spacing w:after="0" w:line="276" w:lineRule="auto"/>
        <w:jc w:val="both"/>
        <w:rPr>
          <w:rStyle w:val="markedcontent"/>
          <w:rFonts w:ascii="Garamond" w:hAnsi="Garamond"/>
          <w:sz w:val="28"/>
          <w:szCs w:val="28"/>
        </w:rPr>
      </w:pPr>
      <w:r w:rsidRPr="008279B4">
        <w:rPr>
          <w:rStyle w:val="markedcontent"/>
          <w:rFonts w:ascii="Garamond" w:hAnsi="Garamond" w:cs="Arial"/>
          <w:sz w:val="28"/>
          <w:szCs w:val="28"/>
        </w:rPr>
        <w:t>Il quadro legislativo e normativo di riferimento è costituito dalle disposizioni legislative di cui alla L. 190/2012, al D.</w:t>
      </w:r>
      <w:r>
        <w:rPr>
          <w:rStyle w:val="markedcontent"/>
          <w:rFonts w:ascii="Garamond" w:hAnsi="Garamond" w:cs="Arial"/>
          <w:sz w:val="28"/>
          <w:szCs w:val="28"/>
        </w:rPr>
        <w:t xml:space="preserve"> Lgs. 33/2013</w:t>
      </w:r>
      <w:r w:rsidRPr="008279B4">
        <w:rPr>
          <w:rStyle w:val="markedcontent"/>
          <w:rFonts w:ascii="Garamond" w:hAnsi="Garamond" w:cs="Arial"/>
          <w:sz w:val="28"/>
          <w:szCs w:val="28"/>
        </w:rPr>
        <w:t xml:space="preserve"> e</w:t>
      </w:r>
      <w:r>
        <w:rPr>
          <w:rStyle w:val="markedcontent"/>
          <w:rFonts w:ascii="Garamond" w:hAnsi="Garamond" w:cs="Arial"/>
          <w:sz w:val="28"/>
          <w:szCs w:val="28"/>
        </w:rPr>
        <w:t xml:space="preserve"> al</w:t>
      </w:r>
      <w:r w:rsidRPr="008279B4">
        <w:rPr>
          <w:rStyle w:val="markedcontent"/>
          <w:rFonts w:ascii="Garamond" w:hAnsi="Garamond" w:cs="Arial"/>
          <w:sz w:val="28"/>
          <w:szCs w:val="28"/>
        </w:rPr>
        <w:t xml:space="preserve"> D. Lgs. 39/2013 che hanno come obiettivo sinergico quello di adottare misure tali da riaffermare il principio della buona amministrazione</w:t>
      </w:r>
      <w:r>
        <w:rPr>
          <w:rStyle w:val="markedcontent"/>
          <w:rFonts w:ascii="Garamond" w:hAnsi="Garamond" w:cs="Arial"/>
          <w:sz w:val="28"/>
          <w:szCs w:val="28"/>
        </w:rPr>
        <w:t>.</w:t>
      </w:r>
    </w:p>
    <w:p w14:paraId="189955E1" w14:textId="77777777" w:rsidR="00AB3891" w:rsidRDefault="00AB3891" w:rsidP="006607ED">
      <w:pPr>
        <w:spacing w:after="0" w:line="276" w:lineRule="auto"/>
        <w:jc w:val="both"/>
        <w:rPr>
          <w:rStyle w:val="markedcontent"/>
          <w:rFonts w:ascii="Garamond" w:hAnsi="Garamond"/>
          <w:sz w:val="28"/>
          <w:szCs w:val="28"/>
        </w:rPr>
      </w:pPr>
      <w:r>
        <w:rPr>
          <w:rStyle w:val="markedcontent"/>
          <w:rFonts w:ascii="Garamond" w:hAnsi="Garamond"/>
          <w:sz w:val="28"/>
          <w:szCs w:val="28"/>
        </w:rPr>
        <w:t>I</w:t>
      </w:r>
      <w:r w:rsidRPr="00112E5B">
        <w:rPr>
          <w:rStyle w:val="markedcontent"/>
          <w:rFonts w:ascii="Garamond" w:hAnsi="Garamond"/>
          <w:sz w:val="28"/>
          <w:szCs w:val="28"/>
        </w:rPr>
        <w:t>l monitoraggio</w:t>
      </w:r>
      <w:r>
        <w:rPr>
          <w:rStyle w:val="markedcontent"/>
          <w:rFonts w:ascii="Garamond" w:hAnsi="Garamond"/>
          <w:sz w:val="28"/>
          <w:szCs w:val="28"/>
        </w:rPr>
        <w:t>,</w:t>
      </w:r>
      <w:r w:rsidRPr="00112E5B">
        <w:rPr>
          <w:rStyle w:val="markedcontent"/>
          <w:rFonts w:ascii="Garamond" w:hAnsi="Garamond"/>
          <w:sz w:val="28"/>
          <w:szCs w:val="28"/>
        </w:rPr>
        <w:t xml:space="preserve"> finalizzato ad accertare il rispetto delle norme del Codice </w:t>
      </w:r>
      <w:r>
        <w:rPr>
          <w:rStyle w:val="markedcontent"/>
          <w:rFonts w:ascii="Garamond" w:hAnsi="Garamond"/>
          <w:sz w:val="28"/>
          <w:szCs w:val="28"/>
        </w:rPr>
        <w:t>Etico e d</w:t>
      </w:r>
      <w:r w:rsidRPr="00112E5B">
        <w:rPr>
          <w:rStyle w:val="markedcontent"/>
          <w:rFonts w:ascii="Garamond" w:hAnsi="Garamond"/>
          <w:sz w:val="28"/>
          <w:szCs w:val="28"/>
        </w:rPr>
        <w:t>i</w:t>
      </w:r>
      <w:r>
        <w:rPr>
          <w:rStyle w:val="markedcontent"/>
          <w:rFonts w:ascii="Garamond" w:hAnsi="Garamond"/>
          <w:sz w:val="28"/>
          <w:szCs w:val="28"/>
        </w:rPr>
        <w:t xml:space="preserve"> Comportamento, </w:t>
      </w:r>
      <w:r w:rsidRPr="00112E5B">
        <w:rPr>
          <w:rStyle w:val="markedcontent"/>
          <w:rFonts w:ascii="Garamond" w:hAnsi="Garamond"/>
          <w:sz w:val="28"/>
          <w:szCs w:val="28"/>
        </w:rPr>
        <w:t xml:space="preserve">è </w:t>
      </w:r>
      <w:r w:rsidR="00E9492C">
        <w:rPr>
          <w:rStyle w:val="markedcontent"/>
          <w:rFonts w:ascii="Garamond" w:hAnsi="Garamond"/>
          <w:sz w:val="28"/>
          <w:szCs w:val="28"/>
        </w:rPr>
        <w:t xml:space="preserve">stato </w:t>
      </w:r>
      <w:r w:rsidRPr="00112E5B">
        <w:rPr>
          <w:rStyle w:val="markedcontent"/>
          <w:rFonts w:ascii="Garamond" w:hAnsi="Garamond"/>
          <w:sz w:val="28"/>
          <w:szCs w:val="28"/>
        </w:rPr>
        <w:t>avviato</w:t>
      </w:r>
      <w:r w:rsidR="00E9492C">
        <w:rPr>
          <w:rStyle w:val="markedcontent"/>
          <w:rFonts w:ascii="Garamond" w:hAnsi="Garamond"/>
          <w:sz w:val="28"/>
          <w:szCs w:val="28"/>
        </w:rPr>
        <w:t xml:space="preserve"> ne</w:t>
      </w:r>
      <w:r>
        <w:rPr>
          <w:rStyle w:val="markedcontent"/>
          <w:rFonts w:ascii="Garamond" w:hAnsi="Garamond"/>
          <w:sz w:val="28"/>
          <w:szCs w:val="28"/>
        </w:rPr>
        <w:t>l mese di novembre,</w:t>
      </w:r>
      <w:r w:rsidRPr="00112E5B">
        <w:rPr>
          <w:rStyle w:val="markedcontent"/>
          <w:rFonts w:ascii="Garamond" w:hAnsi="Garamond"/>
          <w:sz w:val="28"/>
          <w:szCs w:val="28"/>
        </w:rPr>
        <w:t xml:space="preserve"> dal RPCT,</w:t>
      </w:r>
      <w:r>
        <w:rPr>
          <w:rStyle w:val="markedcontent"/>
          <w:rFonts w:ascii="Garamond" w:hAnsi="Garamond"/>
          <w:sz w:val="28"/>
          <w:szCs w:val="28"/>
        </w:rPr>
        <w:t xml:space="preserve"> con il supporto del competente ufficio di supporto alle attività di trasparenza e anticorruzione, mediante </w:t>
      </w:r>
      <w:r w:rsidR="00E9492C">
        <w:rPr>
          <w:rStyle w:val="markedcontent"/>
          <w:rFonts w:ascii="Garamond" w:hAnsi="Garamond"/>
          <w:sz w:val="28"/>
          <w:szCs w:val="28"/>
        </w:rPr>
        <w:t xml:space="preserve">inoltro di nota </w:t>
      </w:r>
      <w:r w:rsidR="00840A66" w:rsidRPr="00840A66">
        <w:rPr>
          <w:rStyle w:val="markedcontent"/>
          <w:rFonts w:ascii="Garamond" w:hAnsi="Garamond"/>
          <w:sz w:val="28"/>
          <w:szCs w:val="28"/>
        </w:rPr>
        <w:t>prot. n. 31798 del 10 novembre 2021</w:t>
      </w:r>
      <w:r w:rsidR="00A71084">
        <w:rPr>
          <w:rStyle w:val="markedcontent"/>
          <w:rFonts w:ascii="Garamond" w:hAnsi="Garamond"/>
          <w:sz w:val="28"/>
          <w:szCs w:val="28"/>
        </w:rPr>
        <w:t xml:space="preserve"> </w:t>
      </w:r>
      <w:r>
        <w:rPr>
          <w:rStyle w:val="markedcontent"/>
          <w:rFonts w:ascii="Garamond" w:hAnsi="Garamond"/>
          <w:sz w:val="28"/>
          <w:szCs w:val="28"/>
        </w:rPr>
        <w:t>a</w:t>
      </w:r>
      <w:r w:rsidRPr="00112E5B">
        <w:rPr>
          <w:rStyle w:val="markedcontent"/>
          <w:rFonts w:ascii="Garamond" w:hAnsi="Garamond"/>
          <w:sz w:val="28"/>
          <w:szCs w:val="28"/>
        </w:rPr>
        <w:t xml:space="preserve">i Referenti </w:t>
      </w:r>
      <w:r w:rsidR="00E9492C">
        <w:rPr>
          <w:rStyle w:val="markedcontent"/>
          <w:rFonts w:ascii="Garamond" w:hAnsi="Garamond"/>
          <w:sz w:val="28"/>
          <w:szCs w:val="28"/>
        </w:rPr>
        <w:t>TAC competenti.</w:t>
      </w:r>
    </w:p>
    <w:p w14:paraId="4EE740EB" w14:textId="77777777" w:rsidR="00840A66" w:rsidRDefault="00840A66" w:rsidP="006607ED">
      <w:pPr>
        <w:spacing w:after="0" w:line="276" w:lineRule="auto"/>
        <w:jc w:val="both"/>
        <w:rPr>
          <w:rStyle w:val="markedcontent"/>
          <w:rFonts w:ascii="Garamond" w:hAnsi="Garamond" w:cs="Arial"/>
          <w:sz w:val="28"/>
          <w:szCs w:val="28"/>
        </w:rPr>
      </w:pPr>
    </w:p>
    <w:p w14:paraId="18B253FC" w14:textId="77777777" w:rsidR="00022B29" w:rsidRDefault="00022B29" w:rsidP="00112E5B">
      <w:pPr>
        <w:spacing w:after="0" w:line="276" w:lineRule="auto"/>
        <w:jc w:val="both"/>
        <w:rPr>
          <w:rStyle w:val="markedcontent"/>
          <w:rFonts w:ascii="Garamond" w:hAnsi="Garamond"/>
          <w:b/>
          <w:sz w:val="28"/>
          <w:szCs w:val="28"/>
          <w:u w:val="single"/>
        </w:rPr>
      </w:pPr>
      <w:r w:rsidRPr="00E9492C">
        <w:rPr>
          <w:rStyle w:val="markedcontent"/>
          <w:rFonts w:ascii="Garamond" w:hAnsi="Garamond"/>
          <w:b/>
          <w:sz w:val="28"/>
          <w:szCs w:val="28"/>
          <w:u w:val="single"/>
        </w:rPr>
        <w:t xml:space="preserve">Diffusione della conoscenza dei Codici di comportamento </w:t>
      </w:r>
    </w:p>
    <w:p w14:paraId="63F4BCC7" w14:textId="77777777" w:rsidR="009E04E4" w:rsidRDefault="009E04E4" w:rsidP="009E04E4">
      <w:pPr>
        <w:spacing w:after="0" w:line="276" w:lineRule="auto"/>
        <w:jc w:val="both"/>
        <w:rPr>
          <w:rStyle w:val="markedcontent"/>
          <w:rFonts w:ascii="Garamond" w:hAnsi="Garamond"/>
          <w:sz w:val="28"/>
          <w:szCs w:val="28"/>
        </w:rPr>
      </w:pPr>
      <w:r>
        <w:rPr>
          <w:rStyle w:val="markedcontent"/>
          <w:rFonts w:ascii="Garamond" w:hAnsi="Garamond"/>
          <w:sz w:val="28"/>
          <w:szCs w:val="28"/>
        </w:rPr>
        <w:t xml:space="preserve">Relativamente al monitoraggio svolto sul livello di diffusione e di conoscenza del Codice Etico e di Comportamento è risultato che conformemente alle disposizioni del D.lgs. n. 33/2013, il Codice di Comportamento dei dipendenti pubblici, di cui al D.P.R. n. 62/2013, e il </w:t>
      </w:r>
      <w:r>
        <w:rPr>
          <w:rStyle w:val="markedcontent"/>
          <w:rFonts w:ascii="Garamond" w:hAnsi="Garamond" w:cs="Arial"/>
          <w:sz w:val="28"/>
          <w:szCs w:val="28"/>
        </w:rPr>
        <w:t>Codice Etico e di Comportamento del Politecnico di Bari</w:t>
      </w:r>
      <w:r>
        <w:rPr>
          <w:rStyle w:val="markedcontent"/>
          <w:rFonts w:ascii="Garamond" w:hAnsi="Garamond"/>
          <w:sz w:val="28"/>
          <w:szCs w:val="28"/>
        </w:rPr>
        <w:t xml:space="preserve"> sono pubblicati nella Sezione “</w:t>
      </w:r>
      <w:r w:rsidRPr="00DC38C0">
        <w:rPr>
          <w:rStyle w:val="markedcontent"/>
          <w:rFonts w:ascii="Garamond" w:hAnsi="Garamond"/>
          <w:i/>
          <w:iCs/>
          <w:sz w:val="28"/>
          <w:szCs w:val="28"/>
        </w:rPr>
        <w:t>Amministrazione Trasparente –Disposizioni generali – Atti generali – Atti amministrativi generali</w:t>
      </w:r>
      <w:r>
        <w:rPr>
          <w:rStyle w:val="markedcontent"/>
          <w:rFonts w:ascii="Garamond" w:hAnsi="Garamond"/>
          <w:sz w:val="28"/>
          <w:szCs w:val="28"/>
        </w:rPr>
        <w:t>” del sito web istituzionale.</w:t>
      </w:r>
    </w:p>
    <w:p w14:paraId="0C4CB182" w14:textId="5F3A7405" w:rsidR="00840A66" w:rsidRPr="00840A66" w:rsidRDefault="008C7CFB" w:rsidP="002C29E8">
      <w:pPr>
        <w:spacing w:after="0" w:line="276" w:lineRule="auto"/>
        <w:jc w:val="both"/>
        <w:rPr>
          <w:rStyle w:val="markedcontent"/>
          <w:rFonts w:ascii="Garamond" w:hAnsi="Garamond"/>
          <w:sz w:val="28"/>
          <w:szCs w:val="28"/>
        </w:rPr>
      </w:pPr>
      <w:proofErr w:type="gramStart"/>
      <w:r>
        <w:rPr>
          <w:rStyle w:val="markedcontent"/>
          <w:rFonts w:ascii="Garamond" w:hAnsi="Garamond"/>
          <w:sz w:val="28"/>
          <w:szCs w:val="28"/>
        </w:rPr>
        <w:t>Inoltre</w:t>
      </w:r>
      <w:proofErr w:type="gramEnd"/>
      <w:r>
        <w:rPr>
          <w:rStyle w:val="markedcontent"/>
          <w:rFonts w:ascii="Garamond" w:hAnsi="Garamond"/>
          <w:sz w:val="28"/>
          <w:szCs w:val="28"/>
        </w:rPr>
        <w:t xml:space="preserve"> i</w:t>
      </w:r>
      <w:r w:rsidR="00840A66" w:rsidRPr="00840A66">
        <w:rPr>
          <w:rStyle w:val="markedcontent"/>
          <w:rFonts w:ascii="Garamond" w:hAnsi="Garamond"/>
          <w:sz w:val="28"/>
          <w:szCs w:val="28"/>
        </w:rPr>
        <w:t>l Referente TAC del settore Risorse Umane ha attestato che</w:t>
      </w:r>
      <w:r w:rsidR="002C29E8">
        <w:rPr>
          <w:rStyle w:val="markedcontent"/>
          <w:rFonts w:ascii="Garamond" w:hAnsi="Garamond"/>
          <w:sz w:val="28"/>
          <w:szCs w:val="28"/>
        </w:rPr>
        <w:t>:</w:t>
      </w:r>
      <w:r w:rsidR="00840A66" w:rsidRPr="00840A66">
        <w:rPr>
          <w:rStyle w:val="markedcontent"/>
          <w:rFonts w:ascii="Garamond" w:hAnsi="Garamond"/>
          <w:sz w:val="28"/>
          <w:szCs w:val="28"/>
        </w:rPr>
        <w:t xml:space="preserve"> </w:t>
      </w:r>
    </w:p>
    <w:p w14:paraId="75427C39" w14:textId="6081BDCE" w:rsidR="00840A66" w:rsidRPr="00840A66" w:rsidRDefault="00840A66" w:rsidP="002C29E8">
      <w:pPr>
        <w:pStyle w:val="Paragrafoelenco"/>
        <w:numPr>
          <w:ilvl w:val="0"/>
          <w:numId w:val="6"/>
        </w:numPr>
        <w:spacing w:after="0" w:line="276" w:lineRule="auto"/>
        <w:jc w:val="both"/>
        <w:rPr>
          <w:rStyle w:val="markedcontent"/>
          <w:rFonts w:ascii="Garamond" w:hAnsi="Garamond"/>
          <w:sz w:val="28"/>
          <w:szCs w:val="28"/>
        </w:rPr>
      </w:pPr>
      <w:r w:rsidRPr="00840A66">
        <w:rPr>
          <w:rStyle w:val="markedcontent"/>
          <w:rFonts w:ascii="Garamond" w:hAnsi="Garamond"/>
          <w:sz w:val="28"/>
          <w:szCs w:val="28"/>
        </w:rPr>
        <w:t>al momento della presa di servizio è stato consegnato al personale neoassunto copia del Codice Etico e di Comportamento o nei documenti di stipula dei contratti, è stato riportato il link di rimando al file pubblicato sul sito istituzionale del Politecnico</w:t>
      </w:r>
    </w:p>
    <w:p w14:paraId="12A49929" w14:textId="4CF1D05D" w:rsidR="00FC02F5" w:rsidRDefault="00840A66" w:rsidP="002C29E8">
      <w:pPr>
        <w:pStyle w:val="Paragrafoelenco"/>
        <w:numPr>
          <w:ilvl w:val="0"/>
          <w:numId w:val="6"/>
        </w:numPr>
        <w:spacing w:after="0" w:line="276" w:lineRule="auto"/>
        <w:jc w:val="both"/>
        <w:rPr>
          <w:rStyle w:val="markedcontent"/>
          <w:rFonts w:ascii="Garamond" w:hAnsi="Garamond"/>
          <w:sz w:val="28"/>
          <w:szCs w:val="28"/>
        </w:rPr>
      </w:pPr>
      <w:r w:rsidRPr="00840A66">
        <w:rPr>
          <w:rStyle w:val="markedcontent"/>
          <w:rFonts w:ascii="Garamond" w:hAnsi="Garamond"/>
          <w:sz w:val="28"/>
          <w:szCs w:val="28"/>
        </w:rPr>
        <w:lastRenderedPageBreak/>
        <w:t>all’atto del conferimento di incarichi, di stipula di contratti e di accordi di tutti coloro che, a vario titolo, collaborano con l’Ateneo (consulenti, collaboratori</w:t>
      </w:r>
      <w:r w:rsidR="00FC02F5">
        <w:rPr>
          <w:rStyle w:val="markedcontent"/>
          <w:rFonts w:ascii="Garamond" w:hAnsi="Garamond"/>
          <w:sz w:val="28"/>
          <w:szCs w:val="28"/>
        </w:rPr>
        <w:t xml:space="preserve"> </w:t>
      </w:r>
      <w:r w:rsidRPr="00840A66">
        <w:rPr>
          <w:rStyle w:val="markedcontent"/>
          <w:rFonts w:ascii="Garamond" w:hAnsi="Garamond"/>
          <w:sz w:val="28"/>
          <w:szCs w:val="28"/>
        </w:rPr>
        <w:t>esterni, prestatori d’opera, professionisti, fornitori e terze parti) è stata</w:t>
      </w:r>
      <w:r w:rsidR="00FC02F5">
        <w:rPr>
          <w:rStyle w:val="markedcontent"/>
          <w:rFonts w:ascii="Garamond" w:hAnsi="Garamond"/>
          <w:sz w:val="28"/>
          <w:szCs w:val="28"/>
        </w:rPr>
        <w:t xml:space="preserve"> </w:t>
      </w:r>
      <w:r w:rsidRPr="00840A66">
        <w:rPr>
          <w:rStyle w:val="markedcontent"/>
          <w:rFonts w:ascii="Garamond" w:hAnsi="Garamond"/>
          <w:sz w:val="28"/>
          <w:szCs w:val="28"/>
        </w:rPr>
        <w:t>consegnata copia del Codice Etico e di Comportamento e/o nei documenti di</w:t>
      </w:r>
      <w:r w:rsidR="00FC02F5">
        <w:rPr>
          <w:rStyle w:val="markedcontent"/>
          <w:rFonts w:ascii="Garamond" w:hAnsi="Garamond"/>
          <w:sz w:val="28"/>
          <w:szCs w:val="28"/>
        </w:rPr>
        <w:t xml:space="preserve"> </w:t>
      </w:r>
      <w:r w:rsidRPr="00840A66">
        <w:rPr>
          <w:rStyle w:val="markedcontent"/>
          <w:rFonts w:ascii="Garamond" w:hAnsi="Garamond"/>
          <w:sz w:val="28"/>
          <w:szCs w:val="28"/>
        </w:rPr>
        <w:t>stipula è riportato il link di rimando al file pubblicato sul sito istituzionale del</w:t>
      </w:r>
      <w:r w:rsidR="00FC02F5">
        <w:rPr>
          <w:rStyle w:val="markedcontent"/>
          <w:rFonts w:ascii="Garamond" w:hAnsi="Garamond"/>
          <w:sz w:val="28"/>
          <w:szCs w:val="28"/>
        </w:rPr>
        <w:t xml:space="preserve"> </w:t>
      </w:r>
      <w:r w:rsidRPr="00840A66">
        <w:rPr>
          <w:rStyle w:val="markedcontent"/>
          <w:rFonts w:ascii="Garamond" w:hAnsi="Garamond"/>
          <w:sz w:val="28"/>
          <w:szCs w:val="28"/>
        </w:rPr>
        <w:t>Politecnico</w:t>
      </w:r>
      <w:r w:rsidR="00FC02F5">
        <w:rPr>
          <w:rStyle w:val="markedcontent"/>
          <w:rFonts w:ascii="Garamond" w:hAnsi="Garamond"/>
          <w:sz w:val="28"/>
          <w:szCs w:val="28"/>
        </w:rPr>
        <w:t xml:space="preserve"> </w:t>
      </w:r>
    </w:p>
    <w:p w14:paraId="4F947683" w14:textId="26DEA546" w:rsidR="00FC02F5" w:rsidRDefault="00840A66" w:rsidP="002C29E8">
      <w:pPr>
        <w:pStyle w:val="Paragrafoelenco"/>
        <w:numPr>
          <w:ilvl w:val="0"/>
          <w:numId w:val="6"/>
        </w:numPr>
        <w:spacing w:after="0" w:line="276" w:lineRule="auto"/>
        <w:jc w:val="both"/>
        <w:rPr>
          <w:rStyle w:val="markedcontent"/>
          <w:rFonts w:ascii="Garamond" w:hAnsi="Garamond"/>
          <w:sz w:val="28"/>
          <w:szCs w:val="28"/>
        </w:rPr>
      </w:pPr>
      <w:r w:rsidRPr="00840A66">
        <w:rPr>
          <w:rStyle w:val="markedcontent"/>
          <w:rFonts w:ascii="Garamond" w:hAnsi="Garamond"/>
          <w:sz w:val="28"/>
          <w:szCs w:val="28"/>
        </w:rPr>
        <w:t>nei contratti, nelle lettere di incarico o nomina e nei bandi sono state inserite</w:t>
      </w:r>
      <w:r w:rsidR="00FC02F5">
        <w:rPr>
          <w:rStyle w:val="markedcontent"/>
          <w:rFonts w:ascii="Garamond" w:hAnsi="Garamond"/>
          <w:sz w:val="28"/>
          <w:szCs w:val="28"/>
        </w:rPr>
        <w:t xml:space="preserve"> </w:t>
      </w:r>
      <w:r w:rsidRPr="00840A66">
        <w:rPr>
          <w:rStyle w:val="markedcontent"/>
          <w:rFonts w:ascii="Garamond" w:hAnsi="Garamond"/>
          <w:sz w:val="28"/>
          <w:szCs w:val="28"/>
        </w:rPr>
        <w:t>le disposizioni o clausole di risoluzione/decadenza del rapporto in caso di</w:t>
      </w:r>
      <w:r w:rsidR="00FC02F5">
        <w:rPr>
          <w:rStyle w:val="markedcontent"/>
          <w:rFonts w:ascii="Garamond" w:hAnsi="Garamond"/>
          <w:sz w:val="28"/>
          <w:szCs w:val="28"/>
        </w:rPr>
        <w:t xml:space="preserve"> </w:t>
      </w:r>
      <w:r w:rsidRPr="00840A66">
        <w:rPr>
          <w:rStyle w:val="markedcontent"/>
          <w:rFonts w:ascii="Garamond" w:hAnsi="Garamond"/>
          <w:sz w:val="28"/>
          <w:szCs w:val="28"/>
        </w:rPr>
        <w:t>violazione degli obblighi derivanti dal Codice Etico e di Comportamento</w:t>
      </w:r>
      <w:r w:rsidR="00FC02F5">
        <w:rPr>
          <w:rStyle w:val="markedcontent"/>
          <w:rFonts w:ascii="Garamond" w:hAnsi="Garamond"/>
          <w:sz w:val="28"/>
          <w:szCs w:val="28"/>
        </w:rPr>
        <w:t xml:space="preserve"> </w:t>
      </w:r>
      <w:r w:rsidR="008C7CFB">
        <w:rPr>
          <w:rStyle w:val="markedcontent"/>
          <w:rFonts w:ascii="Garamond" w:hAnsi="Garamond"/>
          <w:sz w:val="28"/>
          <w:szCs w:val="28"/>
        </w:rPr>
        <w:t>dell’Ateneo</w:t>
      </w:r>
    </w:p>
    <w:p w14:paraId="0D935769" w14:textId="77777777" w:rsidR="00FC02F5" w:rsidRDefault="00840A66" w:rsidP="002C29E8">
      <w:pPr>
        <w:pStyle w:val="Paragrafoelenco"/>
        <w:numPr>
          <w:ilvl w:val="0"/>
          <w:numId w:val="6"/>
        </w:numPr>
        <w:spacing w:after="0" w:line="276" w:lineRule="auto"/>
        <w:jc w:val="both"/>
        <w:rPr>
          <w:rStyle w:val="markedcontent"/>
          <w:rFonts w:ascii="Garamond" w:hAnsi="Garamond"/>
          <w:sz w:val="28"/>
          <w:szCs w:val="28"/>
        </w:rPr>
      </w:pPr>
      <w:r w:rsidRPr="00840A66">
        <w:rPr>
          <w:rStyle w:val="markedcontent"/>
          <w:rFonts w:ascii="Garamond" w:hAnsi="Garamond"/>
          <w:sz w:val="28"/>
          <w:szCs w:val="28"/>
        </w:rPr>
        <w:t>non sono pervenute segnalazioni in ordine alla violazione degli obblighi di</w:t>
      </w:r>
      <w:r w:rsidR="00FC02F5">
        <w:rPr>
          <w:rStyle w:val="markedcontent"/>
          <w:rFonts w:ascii="Garamond" w:hAnsi="Garamond"/>
          <w:sz w:val="28"/>
          <w:szCs w:val="28"/>
        </w:rPr>
        <w:t xml:space="preserve"> </w:t>
      </w:r>
      <w:r w:rsidRPr="00840A66">
        <w:rPr>
          <w:rStyle w:val="markedcontent"/>
          <w:rFonts w:ascii="Garamond" w:hAnsi="Garamond"/>
          <w:sz w:val="28"/>
          <w:szCs w:val="28"/>
        </w:rPr>
        <w:t>condotta previsti dal Codice di Etico e di Comportamento.</w:t>
      </w:r>
      <w:r w:rsidR="00FC02F5">
        <w:rPr>
          <w:rStyle w:val="markedcontent"/>
          <w:rFonts w:ascii="Garamond" w:hAnsi="Garamond"/>
          <w:sz w:val="28"/>
          <w:szCs w:val="28"/>
        </w:rPr>
        <w:t xml:space="preserve"> </w:t>
      </w:r>
    </w:p>
    <w:p w14:paraId="688D061F" w14:textId="77777777" w:rsidR="002C29E8" w:rsidRDefault="00840A66" w:rsidP="002C29E8">
      <w:pPr>
        <w:spacing w:after="0" w:line="276" w:lineRule="auto"/>
        <w:ind w:left="709" w:hanging="567"/>
        <w:jc w:val="both"/>
        <w:rPr>
          <w:rStyle w:val="markedcontent"/>
          <w:rFonts w:ascii="Garamond" w:hAnsi="Garamond"/>
          <w:sz w:val="28"/>
          <w:szCs w:val="28"/>
        </w:rPr>
      </w:pPr>
      <w:r w:rsidRPr="00FC02F5">
        <w:rPr>
          <w:rStyle w:val="markedcontent"/>
          <w:rFonts w:ascii="Garamond" w:hAnsi="Garamond"/>
          <w:sz w:val="28"/>
          <w:szCs w:val="28"/>
        </w:rPr>
        <w:t xml:space="preserve">Il Referente TAC del Centro Servizi Amministrativi e contabili di Ateneo ha attestato </w:t>
      </w:r>
      <w:r w:rsidR="002C29E8" w:rsidRPr="00840A66">
        <w:rPr>
          <w:rStyle w:val="markedcontent"/>
          <w:rFonts w:ascii="Garamond" w:hAnsi="Garamond"/>
          <w:sz w:val="28"/>
          <w:szCs w:val="28"/>
        </w:rPr>
        <w:t>che</w:t>
      </w:r>
      <w:r w:rsidR="002C29E8">
        <w:rPr>
          <w:rStyle w:val="markedcontent"/>
          <w:rFonts w:ascii="Garamond" w:hAnsi="Garamond"/>
          <w:sz w:val="28"/>
          <w:szCs w:val="28"/>
        </w:rPr>
        <w:t>:</w:t>
      </w:r>
    </w:p>
    <w:p w14:paraId="0530CF32" w14:textId="60C27FF8" w:rsidR="00FC02F5" w:rsidRPr="002C29E8" w:rsidRDefault="00840A66" w:rsidP="002C29E8">
      <w:pPr>
        <w:pStyle w:val="Paragrafoelenco"/>
        <w:numPr>
          <w:ilvl w:val="0"/>
          <w:numId w:val="6"/>
        </w:numPr>
        <w:spacing w:after="0" w:line="276" w:lineRule="auto"/>
        <w:jc w:val="both"/>
        <w:rPr>
          <w:rStyle w:val="markedcontent"/>
          <w:rFonts w:ascii="Garamond" w:hAnsi="Garamond"/>
          <w:sz w:val="28"/>
          <w:szCs w:val="28"/>
        </w:rPr>
      </w:pPr>
      <w:r w:rsidRPr="002C29E8">
        <w:rPr>
          <w:rStyle w:val="markedcontent"/>
          <w:rFonts w:ascii="Garamond" w:hAnsi="Garamond"/>
          <w:sz w:val="28"/>
          <w:szCs w:val="28"/>
        </w:rPr>
        <w:t>all’atto del conferimento di incarichi, di stipula di contratti e di accordi di tutti</w:t>
      </w:r>
      <w:r w:rsidR="00FC02F5" w:rsidRPr="002C29E8">
        <w:rPr>
          <w:rStyle w:val="markedcontent"/>
          <w:rFonts w:ascii="Garamond" w:hAnsi="Garamond"/>
          <w:sz w:val="28"/>
          <w:szCs w:val="28"/>
        </w:rPr>
        <w:t xml:space="preserve"> </w:t>
      </w:r>
      <w:r w:rsidRPr="002C29E8">
        <w:rPr>
          <w:rStyle w:val="markedcontent"/>
          <w:rFonts w:ascii="Garamond" w:hAnsi="Garamond"/>
          <w:sz w:val="28"/>
          <w:szCs w:val="28"/>
        </w:rPr>
        <w:t>coloro che, a vario titolo, collaborano con l’Ateneo (consulenti, collaboratori</w:t>
      </w:r>
      <w:r w:rsidR="00FC02F5" w:rsidRPr="002C29E8">
        <w:rPr>
          <w:rStyle w:val="markedcontent"/>
          <w:rFonts w:ascii="Garamond" w:hAnsi="Garamond"/>
          <w:sz w:val="28"/>
          <w:szCs w:val="28"/>
        </w:rPr>
        <w:t xml:space="preserve"> </w:t>
      </w:r>
      <w:r w:rsidRPr="002C29E8">
        <w:rPr>
          <w:rStyle w:val="markedcontent"/>
          <w:rFonts w:ascii="Garamond" w:hAnsi="Garamond"/>
          <w:sz w:val="28"/>
          <w:szCs w:val="28"/>
        </w:rPr>
        <w:t>esterni, prestatori d’opera, professionisti, fornitori e terze parti) è stata</w:t>
      </w:r>
      <w:r w:rsidR="00FC02F5" w:rsidRPr="002C29E8">
        <w:rPr>
          <w:rStyle w:val="markedcontent"/>
          <w:rFonts w:ascii="Garamond" w:hAnsi="Garamond"/>
          <w:sz w:val="28"/>
          <w:szCs w:val="28"/>
        </w:rPr>
        <w:t xml:space="preserve"> </w:t>
      </w:r>
      <w:r w:rsidRPr="002C29E8">
        <w:rPr>
          <w:rStyle w:val="markedcontent"/>
          <w:rFonts w:ascii="Garamond" w:hAnsi="Garamond"/>
          <w:sz w:val="28"/>
          <w:szCs w:val="28"/>
        </w:rPr>
        <w:t>consegnata copia del Codice Etico e di Comportamento e/o nei documenti di</w:t>
      </w:r>
      <w:r w:rsidR="00FC02F5" w:rsidRPr="002C29E8">
        <w:rPr>
          <w:rStyle w:val="markedcontent"/>
          <w:rFonts w:ascii="Garamond" w:hAnsi="Garamond"/>
          <w:sz w:val="28"/>
          <w:szCs w:val="28"/>
        </w:rPr>
        <w:t xml:space="preserve"> </w:t>
      </w:r>
      <w:r w:rsidRPr="002C29E8">
        <w:rPr>
          <w:rStyle w:val="markedcontent"/>
          <w:rFonts w:ascii="Garamond" w:hAnsi="Garamond"/>
          <w:sz w:val="28"/>
          <w:szCs w:val="28"/>
        </w:rPr>
        <w:t>stipula è riportato il link di rimando al file pubblicato sul sito istituzionale del</w:t>
      </w:r>
      <w:r w:rsidR="00FC02F5" w:rsidRPr="002C29E8">
        <w:rPr>
          <w:rStyle w:val="markedcontent"/>
          <w:rFonts w:ascii="Garamond" w:hAnsi="Garamond"/>
          <w:sz w:val="28"/>
          <w:szCs w:val="28"/>
        </w:rPr>
        <w:t xml:space="preserve"> </w:t>
      </w:r>
      <w:r w:rsidR="008C7CFB">
        <w:rPr>
          <w:rStyle w:val="markedcontent"/>
          <w:rFonts w:ascii="Garamond" w:hAnsi="Garamond"/>
          <w:sz w:val="28"/>
          <w:szCs w:val="28"/>
        </w:rPr>
        <w:t>Politecnico</w:t>
      </w:r>
    </w:p>
    <w:p w14:paraId="3C897546" w14:textId="5C9B2AFC" w:rsidR="00FC02F5" w:rsidRPr="00FC02F5" w:rsidRDefault="00840A66" w:rsidP="002C29E8">
      <w:pPr>
        <w:pStyle w:val="Paragrafoelenco"/>
        <w:numPr>
          <w:ilvl w:val="0"/>
          <w:numId w:val="6"/>
        </w:numPr>
        <w:spacing w:after="0" w:line="276" w:lineRule="auto"/>
        <w:jc w:val="both"/>
        <w:rPr>
          <w:rStyle w:val="markedcontent"/>
          <w:rFonts w:ascii="Garamond" w:hAnsi="Garamond"/>
          <w:sz w:val="28"/>
          <w:szCs w:val="28"/>
        </w:rPr>
      </w:pPr>
      <w:r w:rsidRPr="00FC02F5">
        <w:rPr>
          <w:rStyle w:val="markedcontent"/>
          <w:rFonts w:ascii="Garamond" w:hAnsi="Garamond"/>
          <w:sz w:val="28"/>
          <w:szCs w:val="28"/>
        </w:rPr>
        <w:t>nei contratti, nelle lettere di incarico o nomina e nei bandi sono state inserite</w:t>
      </w:r>
      <w:r w:rsidR="00FC02F5" w:rsidRPr="00FC02F5">
        <w:rPr>
          <w:rStyle w:val="markedcontent"/>
          <w:rFonts w:ascii="Garamond" w:hAnsi="Garamond"/>
          <w:sz w:val="28"/>
          <w:szCs w:val="28"/>
        </w:rPr>
        <w:t xml:space="preserve"> </w:t>
      </w:r>
      <w:r w:rsidRPr="00FC02F5">
        <w:rPr>
          <w:rStyle w:val="markedcontent"/>
          <w:rFonts w:ascii="Garamond" w:hAnsi="Garamond"/>
          <w:sz w:val="28"/>
          <w:szCs w:val="28"/>
        </w:rPr>
        <w:t>le disposizioni o clausole di risoluzione/decadenza del rapporto in caso di</w:t>
      </w:r>
      <w:r w:rsidR="00FC02F5" w:rsidRPr="00FC02F5">
        <w:rPr>
          <w:rStyle w:val="markedcontent"/>
          <w:rFonts w:ascii="Garamond" w:hAnsi="Garamond"/>
          <w:sz w:val="28"/>
          <w:szCs w:val="28"/>
        </w:rPr>
        <w:t xml:space="preserve"> </w:t>
      </w:r>
      <w:r w:rsidRPr="00FC02F5">
        <w:rPr>
          <w:rStyle w:val="markedcontent"/>
          <w:rFonts w:ascii="Garamond" w:hAnsi="Garamond"/>
          <w:sz w:val="28"/>
          <w:szCs w:val="28"/>
        </w:rPr>
        <w:t>violazione degli obblighi derivanti dal Codice Etico e di Comportamento</w:t>
      </w:r>
      <w:r w:rsidR="00FC02F5" w:rsidRPr="00FC02F5">
        <w:rPr>
          <w:rStyle w:val="markedcontent"/>
          <w:rFonts w:ascii="Garamond" w:hAnsi="Garamond"/>
          <w:sz w:val="28"/>
          <w:szCs w:val="28"/>
        </w:rPr>
        <w:t xml:space="preserve"> </w:t>
      </w:r>
      <w:r w:rsidR="008C7CFB">
        <w:rPr>
          <w:rStyle w:val="markedcontent"/>
          <w:rFonts w:ascii="Garamond" w:hAnsi="Garamond"/>
          <w:sz w:val="28"/>
          <w:szCs w:val="28"/>
        </w:rPr>
        <w:t>dell’Ateneo</w:t>
      </w:r>
    </w:p>
    <w:p w14:paraId="0064DC8B" w14:textId="77777777" w:rsidR="00840A66" w:rsidRDefault="00840A66" w:rsidP="002C29E8">
      <w:pPr>
        <w:pStyle w:val="Paragrafoelenco"/>
        <w:numPr>
          <w:ilvl w:val="0"/>
          <w:numId w:val="6"/>
        </w:numPr>
        <w:spacing w:after="0" w:line="276" w:lineRule="auto"/>
        <w:jc w:val="both"/>
        <w:rPr>
          <w:rStyle w:val="markedcontent"/>
          <w:rFonts w:ascii="Garamond" w:hAnsi="Garamond"/>
          <w:sz w:val="28"/>
          <w:szCs w:val="28"/>
        </w:rPr>
      </w:pPr>
      <w:r w:rsidRPr="00840A66">
        <w:rPr>
          <w:rStyle w:val="markedcontent"/>
          <w:rFonts w:ascii="Garamond" w:hAnsi="Garamond"/>
          <w:sz w:val="28"/>
          <w:szCs w:val="28"/>
        </w:rPr>
        <w:t>non sono pervenute segnalazioni in ordine alla violazione degli obblighi di</w:t>
      </w:r>
      <w:r w:rsidR="00FC02F5">
        <w:rPr>
          <w:rStyle w:val="markedcontent"/>
          <w:rFonts w:ascii="Garamond" w:hAnsi="Garamond"/>
          <w:sz w:val="28"/>
          <w:szCs w:val="28"/>
        </w:rPr>
        <w:t xml:space="preserve"> </w:t>
      </w:r>
      <w:r w:rsidRPr="00840A66">
        <w:rPr>
          <w:rStyle w:val="markedcontent"/>
          <w:rFonts w:ascii="Garamond" w:hAnsi="Garamond"/>
          <w:sz w:val="28"/>
          <w:szCs w:val="28"/>
        </w:rPr>
        <w:t>condotta previsti dal Codice di Etico e di Comportamento.</w:t>
      </w:r>
    </w:p>
    <w:p w14:paraId="386D795E" w14:textId="77777777" w:rsidR="00FC02F5" w:rsidRDefault="00840A66" w:rsidP="002C29E8">
      <w:pPr>
        <w:spacing w:after="0" w:line="276" w:lineRule="auto"/>
        <w:jc w:val="both"/>
        <w:rPr>
          <w:rStyle w:val="markedcontent"/>
          <w:rFonts w:ascii="Garamond" w:hAnsi="Garamond"/>
          <w:sz w:val="28"/>
          <w:szCs w:val="28"/>
        </w:rPr>
      </w:pPr>
      <w:r w:rsidRPr="009E04E4">
        <w:rPr>
          <w:rStyle w:val="markedcontent"/>
          <w:rFonts w:ascii="Garamond" w:hAnsi="Garamond"/>
          <w:sz w:val="28"/>
          <w:szCs w:val="28"/>
        </w:rPr>
        <w:t xml:space="preserve">Il Referente TAC del Settore Servizi Tecnici </w:t>
      </w:r>
      <w:r w:rsidR="002C29E8">
        <w:rPr>
          <w:rStyle w:val="markedcontent"/>
          <w:rFonts w:ascii="Garamond" w:hAnsi="Garamond"/>
          <w:sz w:val="28"/>
          <w:szCs w:val="28"/>
        </w:rPr>
        <w:t>ha attestato che:</w:t>
      </w:r>
    </w:p>
    <w:p w14:paraId="5AD5DFD1" w14:textId="77777777" w:rsidR="00840A66" w:rsidRPr="00FC02F5" w:rsidRDefault="00840A66" w:rsidP="002C29E8">
      <w:pPr>
        <w:pStyle w:val="Paragrafoelenco"/>
        <w:numPr>
          <w:ilvl w:val="0"/>
          <w:numId w:val="6"/>
        </w:numPr>
        <w:spacing w:after="0" w:line="276" w:lineRule="auto"/>
        <w:jc w:val="both"/>
        <w:rPr>
          <w:rStyle w:val="markedcontent"/>
          <w:rFonts w:ascii="Garamond" w:hAnsi="Garamond"/>
          <w:sz w:val="28"/>
          <w:szCs w:val="28"/>
        </w:rPr>
      </w:pPr>
      <w:r w:rsidRPr="00FC02F5">
        <w:rPr>
          <w:rStyle w:val="markedcontent"/>
          <w:rFonts w:ascii="Garamond" w:hAnsi="Garamond"/>
          <w:sz w:val="28"/>
          <w:szCs w:val="28"/>
        </w:rPr>
        <w:t>nei documenti di stipula dei contratti viene riportato il link di rimando al file pdf pubblicato sul sito istituzionale del Politecnico, lo stesso documento viene sottoscritto dai soggetti contraenti;</w:t>
      </w:r>
    </w:p>
    <w:p w14:paraId="59F846E4" w14:textId="1B26C005" w:rsidR="00840A66" w:rsidRDefault="00840A66" w:rsidP="002C29E8">
      <w:pPr>
        <w:pStyle w:val="Paragrafoelenco"/>
        <w:numPr>
          <w:ilvl w:val="0"/>
          <w:numId w:val="6"/>
        </w:numPr>
        <w:spacing w:after="0" w:line="276" w:lineRule="auto"/>
        <w:jc w:val="both"/>
        <w:rPr>
          <w:rStyle w:val="markedcontent"/>
          <w:rFonts w:ascii="Garamond" w:hAnsi="Garamond"/>
          <w:sz w:val="28"/>
          <w:szCs w:val="28"/>
        </w:rPr>
      </w:pPr>
      <w:r w:rsidRPr="00840A66">
        <w:rPr>
          <w:rStyle w:val="markedcontent"/>
          <w:rFonts w:ascii="Garamond" w:hAnsi="Garamond"/>
          <w:sz w:val="28"/>
          <w:szCs w:val="28"/>
        </w:rPr>
        <w:t>nei contratti, nelle lettere di incarico o nomina e nei bandi sono state inserite</w:t>
      </w:r>
      <w:r>
        <w:rPr>
          <w:rStyle w:val="markedcontent"/>
          <w:rFonts w:ascii="Garamond" w:hAnsi="Garamond"/>
          <w:sz w:val="28"/>
          <w:szCs w:val="28"/>
        </w:rPr>
        <w:t xml:space="preserve"> </w:t>
      </w:r>
      <w:r w:rsidRPr="00840A66">
        <w:rPr>
          <w:rStyle w:val="markedcontent"/>
          <w:rFonts w:ascii="Garamond" w:hAnsi="Garamond"/>
          <w:sz w:val="28"/>
          <w:szCs w:val="28"/>
        </w:rPr>
        <w:t>le disposizioni o clausole di risoluzione/decadenza del rapporto in caso di</w:t>
      </w:r>
      <w:r>
        <w:rPr>
          <w:rStyle w:val="markedcontent"/>
          <w:rFonts w:ascii="Garamond" w:hAnsi="Garamond"/>
          <w:sz w:val="28"/>
          <w:szCs w:val="28"/>
        </w:rPr>
        <w:t xml:space="preserve"> </w:t>
      </w:r>
      <w:r w:rsidRPr="00840A66">
        <w:rPr>
          <w:rStyle w:val="markedcontent"/>
          <w:rFonts w:ascii="Garamond" w:hAnsi="Garamond"/>
          <w:sz w:val="28"/>
          <w:szCs w:val="28"/>
        </w:rPr>
        <w:t>violazione degli obblighi derivanti dal Codice Etico e di Comportamento</w:t>
      </w:r>
      <w:r>
        <w:rPr>
          <w:rStyle w:val="markedcontent"/>
          <w:rFonts w:ascii="Garamond" w:hAnsi="Garamond"/>
          <w:sz w:val="28"/>
          <w:szCs w:val="28"/>
        </w:rPr>
        <w:t xml:space="preserve"> </w:t>
      </w:r>
      <w:r w:rsidRPr="00840A66">
        <w:rPr>
          <w:rStyle w:val="markedcontent"/>
          <w:rFonts w:ascii="Garamond" w:hAnsi="Garamond"/>
          <w:sz w:val="28"/>
          <w:szCs w:val="28"/>
        </w:rPr>
        <w:t>dell’</w:t>
      </w:r>
      <w:r w:rsidR="008C7CFB">
        <w:rPr>
          <w:rStyle w:val="markedcontent"/>
          <w:rFonts w:ascii="Garamond" w:hAnsi="Garamond"/>
          <w:sz w:val="28"/>
          <w:szCs w:val="28"/>
        </w:rPr>
        <w:t>Ateneo</w:t>
      </w:r>
    </w:p>
    <w:p w14:paraId="24C47D3C" w14:textId="77777777" w:rsidR="00840A66" w:rsidRDefault="00840A66" w:rsidP="002C29E8">
      <w:pPr>
        <w:pStyle w:val="Paragrafoelenco"/>
        <w:numPr>
          <w:ilvl w:val="0"/>
          <w:numId w:val="6"/>
        </w:numPr>
        <w:spacing w:after="0" w:line="276" w:lineRule="auto"/>
        <w:jc w:val="both"/>
        <w:rPr>
          <w:rStyle w:val="markedcontent"/>
          <w:rFonts w:ascii="Garamond" w:hAnsi="Garamond"/>
          <w:sz w:val="28"/>
          <w:szCs w:val="28"/>
        </w:rPr>
      </w:pPr>
      <w:r w:rsidRPr="00840A66">
        <w:rPr>
          <w:rStyle w:val="markedcontent"/>
          <w:rFonts w:ascii="Garamond" w:hAnsi="Garamond"/>
          <w:sz w:val="28"/>
          <w:szCs w:val="28"/>
        </w:rPr>
        <w:t>non sono pervenute segnalazioni in ordine alla violazione degli obblighi di</w:t>
      </w:r>
      <w:r>
        <w:rPr>
          <w:rStyle w:val="markedcontent"/>
          <w:rFonts w:ascii="Garamond" w:hAnsi="Garamond"/>
          <w:sz w:val="28"/>
          <w:szCs w:val="28"/>
        </w:rPr>
        <w:t xml:space="preserve"> </w:t>
      </w:r>
      <w:r w:rsidRPr="00840A66">
        <w:rPr>
          <w:rStyle w:val="markedcontent"/>
          <w:rFonts w:ascii="Garamond" w:hAnsi="Garamond"/>
          <w:sz w:val="28"/>
          <w:szCs w:val="28"/>
        </w:rPr>
        <w:t>condotta previsti dal Codice di Etico e di Comportamento.</w:t>
      </w:r>
      <w:r>
        <w:rPr>
          <w:rStyle w:val="markedcontent"/>
          <w:rFonts w:ascii="Garamond" w:hAnsi="Garamond"/>
          <w:sz w:val="28"/>
          <w:szCs w:val="28"/>
        </w:rPr>
        <w:t xml:space="preserve"> </w:t>
      </w:r>
    </w:p>
    <w:p w14:paraId="2105298F" w14:textId="77777777" w:rsidR="00FC02F5" w:rsidRDefault="00840A66" w:rsidP="002C29E8">
      <w:pPr>
        <w:spacing w:after="0" w:line="276" w:lineRule="auto"/>
        <w:jc w:val="both"/>
        <w:rPr>
          <w:rStyle w:val="markedcontent"/>
          <w:rFonts w:ascii="Garamond" w:hAnsi="Garamond"/>
          <w:sz w:val="28"/>
          <w:szCs w:val="28"/>
        </w:rPr>
      </w:pPr>
      <w:r w:rsidRPr="00840A66">
        <w:rPr>
          <w:rStyle w:val="markedcontent"/>
          <w:rFonts w:ascii="Garamond" w:hAnsi="Garamond"/>
          <w:sz w:val="28"/>
          <w:szCs w:val="28"/>
        </w:rPr>
        <w:t>Il Referente TAC della Segreteria di Direzione Generale e Rettorato e il Responsabile</w:t>
      </w:r>
      <w:r w:rsidR="00FC02F5">
        <w:rPr>
          <w:rStyle w:val="markedcontent"/>
          <w:rFonts w:ascii="Garamond" w:hAnsi="Garamond"/>
          <w:sz w:val="28"/>
          <w:szCs w:val="28"/>
        </w:rPr>
        <w:t xml:space="preserve"> </w:t>
      </w:r>
      <w:r w:rsidRPr="00840A66">
        <w:rPr>
          <w:rStyle w:val="markedcontent"/>
          <w:rFonts w:ascii="Garamond" w:hAnsi="Garamond"/>
          <w:sz w:val="28"/>
          <w:szCs w:val="28"/>
        </w:rPr>
        <w:t>dell’Ufficio Procedimenti Disciplinari /Referente TAC del Settore Affari legali hanno</w:t>
      </w:r>
      <w:r w:rsidR="00FC02F5">
        <w:rPr>
          <w:rStyle w:val="markedcontent"/>
          <w:rFonts w:ascii="Garamond" w:hAnsi="Garamond"/>
          <w:sz w:val="28"/>
          <w:szCs w:val="28"/>
        </w:rPr>
        <w:t xml:space="preserve"> </w:t>
      </w:r>
      <w:r w:rsidRPr="00840A66">
        <w:rPr>
          <w:rStyle w:val="markedcontent"/>
          <w:rFonts w:ascii="Garamond" w:hAnsi="Garamond"/>
          <w:sz w:val="28"/>
          <w:szCs w:val="28"/>
        </w:rPr>
        <w:t>attestato che</w:t>
      </w:r>
      <w:r w:rsidR="002C29E8">
        <w:rPr>
          <w:rStyle w:val="markedcontent"/>
          <w:rFonts w:ascii="Garamond" w:hAnsi="Garamond"/>
          <w:sz w:val="28"/>
          <w:szCs w:val="28"/>
        </w:rPr>
        <w:t>:</w:t>
      </w:r>
      <w:r w:rsidRPr="00840A66">
        <w:rPr>
          <w:rStyle w:val="markedcontent"/>
          <w:rFonts w:ascii="Garamond" w:hAnsi="Garamond"/>
          <w:sz w:val="28"/>
          <w:szCs w:val="28"/>
        </w:rPr>
        <w:t xml:space="preserve"> </w:t>
      </w:r>
    </w:p>
    <w:p w14:paraId="5E1826B8" w14:textId="77777777" w:rsidR="00FC02F5" w:rsidRDefault="00840A66" w:rsidP="002C29E8">
      <w:pPr>
        <w:pStyle w:val="Paragrafoelenco"/>
        <w:numPr>
          <w:ilvl w:val="0"/>
          <w:numId w:val="6"/>
        </w:numPr>
        <w:spacing w:after="0" w:line="276" w:lineRule="auto"/>
        <w:jc w:val="both"/>
        <w:rPr>
          <w:rStyle w:val="markedcontent"/>
          <w:rFonts w:ascii="Garamond" w:hAnsi="Garamond"/>
          <w:sz w:val="28"/>
          <w:szCs w:val="28"/>
        </w:rPr>
      </w:pPr>
      <w:r w:rsidRPr="00FC02F5">
        <w:rPr>
          <w:rStyle w:val="markedcontent"/>
          <w:rFonts w:ascii="Garamond" w:hAnsi="Garamond"/>
          <w:sz w:val="28"/>
          <w:szCs w:val="28"/>
        </w:rPr>
        <w:t>non sono pervenute segnalazioni in ordine alla violazione degli obblighi di</w:t>
      </w:r>
      <w:r w:rsidR="00FC02F5">
        <w:rPr>
          <w:rStyle w:val="markedcontent"/>
          <w:rFonts w:ascii="Garamond" w:hAnsi="Garamond"/>
          <w:sz w:val="28"/>
          <w:szCs w:val="28"/>
        </w:rPr>
        <w:t xml:space="preserve"> </w:t>
      </w:r>
      <w:r w:rsidRPr="00FC02F5">
        <w:rPr>
          <w:rStyle w:val="markedcontent"/>
          <w:rFonts w:ascii="Garamond" w:hAnsi="Garamond"/>
          <w:sz w:val="28"/>
          <w:szCs w:val="28"/>
        </w:rPr>
        <w:t>condotta previsti dal Codice di Etico e di Comportamento.</w:t>
      </w:r>
    </w:p>
    <w:p w14:paraId="5F923D87" w14:textId="77777777" w:rsidR="00FC02F5" w:rsidRDefault="00840A66" w:rsidP="002C29E8">
      <w:pPr>
        <w:spacing w:after="0" w:line="276" w:lineRule="auto"/>
        <w:jc w:val="both"/>
        <w:rPr>
          <w:rStyle w:val="markedcontent"/>
          <w:rFonts w:ascii="Garamond" w:hAnsi="Garamond"/>
          <w:sz w:val="28"/>
          <w:szCs w:val="28"/>
        </w:rPr>
      </w:pPr>
      <w:r w:rsidRPr="00FC02F5">
        <w:rPr>
          <w:rStyle w:val="markedcontent"/>
          <w:rFonts w:ascii="Garamond" w:hAnsi="Garamond"/>
          <w:sz w:val="28"/>
          <w:szCs w:val="28"/>
        </w:rPr>
        <w:t>Il Referente TAC dell’Unità di Staff della Direz</w:t>
      </w:r>
      <w:r w:rsidR="00FC02F5">
        <w:rPr>
          <w:rStyle w:val="markedcontent"/>
          <w:rFonts w:ascii="Garamond" w:hAnsi="Garamond"/>
          <w:sz w:val="28"/>
          <w:szCs w:val="28"/>
        </w:rPr>
        <w:t>ione Generale ha attestato che</w:t>
      </w:r>
      <w:r w:rsidR="002C29E8">
        <w:rPr>
          <w:rStyle w:val="markedcontent"/>
          <w:rFonts w:ascii="Garamond" w:hAnsi="Garamond"/>
          <w:sz w:val="28"/>
          <w:szCs w:val="28"/>
        </w:rPr>
        <w:t>:</w:t>
      </w:r>
    </w:p>
    <w:p w14:paraId="084F5856" w14:textId="77777777" w:rsidR="00A71084" w:rsidRPr="00FC02F5" w:rsidRDefault="00840A66" w:rsidP="002C29E8">
      <w:pPr>
        <w:pStyle w:val="Paragrafoelenco"/>
        <w:numPr>
          <w:ilvl w:val="0"/>
          <w:numId w:val="6"/>
        </w:numPr>
        <w:spacing w:after="0" w:line="276" w:lineRule="auto"/>
        <w:jc w:val="both"/>
        <w:rPr>
          <w:rStyle w:val="markedcontent"/>
          <w:rFonts w:ascii="Garamond" w:hAnsi="Garamond"/>
          <w:sz w:val="28"/>
          <w:szCs w:val="28"/>
        </w:rPr>
      </w:pPr>
      <w:r w:rsidRPr="00FC02F5">
        <w:rPr>
          <w:rStyle w:val="markedcontent"/>
          <w:rFonts w:ascii="Garamond" w:hAnsi="Garamond"/>
          <w:sz w:val="28"/>
          <w:szCs w:val="28"/>
        </w:rPr>
        <w:t>sono pervenute segnalazioni in ordine alla violazione degli obblighi previsti dal</w:t>
      </w:r>
      <w:r w:rsidR="00FC02F5" w:rsidRPr="00FC02F5">
        <w:rPr>
          <w:rStyle w:val="markedcontent"/>
          <w:rFonts w:ascii="Garamond" w:hAnsi="Garamond"/>
          <w:sz w:val="28"/>
          <w:szCs w:val="28"/>
        </w:rPr>
        <w:t xml:space="preserve"> </w:t>
      </w:r>
      <w:r w:rsidRPr="00FC02F5">
        <w:rPr>
          <w:rStyle w:val="markedcontent"/>
          <w:rFonts w:ascii="Garamond" w:hAnsi="Garamond"/>
          <w:sz w:val="28"/>
          <w:szCs w:val="28"/>
        </w:rPr>
        <w:t>Codice Etico e di Comportamento</w:t>
      </w:r>
      <w:r w:rsidR="00FC02F5" w:rsidRPr="00FC02F5">
        <w:rPr>
          <w:rStyle w:val="markedcontent"/>
          <w:rFonts w:ascii="Garamond" w:hAnsi="Garamond"/>
          <w:sz w:val="28"/>
          <w:szCs w:val="28"/>
        </w:rPr>
        <w:t xml:space="preserve"> e che delle stesse </w:t>
      </w:r>
      <w:r w:rsidRPr="00FC02F5">
        <w:rPr>
          <w:rStyle w:val="markedcontent"/>
          <w:rFonts w:ascii="Garamond" w:hAnsi="Garamond"/>
          <w:sz w:val="28"/>
          <w:szCs w:val="28"/>
        </w:rPr>
        <w:t>si “</w:t>
      </w:r>
      <w:r w:rsidRPr="00FC02F5">
        <w:rPr>
          <w:rStyle w:val="markedcontent"/>
          <w:rFonts w:ascii="Garamond" w:hAnsi="Garamond"/>
          <w:i/>
          <w:sz w:val="28"/>
          <w:szCs w:val="28"/>
        </w:rPr>
        <w:t>è provveduto a fornire riscontro al segnalante</w:t>
      </w:r>
      <w:r w:rsidR="00FC02F5" w:rsidRPr="00FC02F5">
        <w:rPr>
          <w:rStyle w:val="markedcontent"/>
          <w:rFonts w:ascii="Garamond" w:hAnsi="Garamond"/>
          <w:i/>
          <w:sz w:val="28"/>
          <w:szCs w:val="28"/>
        </w:rPr>
        <w:t xml:space="preserve"> </w:t>
      </w:r>
      <w:r w:rsidRPr="00FC02F5">
        <w:rPr>
          <w:rStyle w:val="markedcontent"/>
          <w:rFonts w:ascii="Garamond" w:hAnsi="Garamond"/>
          <w:i/>
          <w:sz w:val="28"/>
          <w:szCs w:val="28"/>
        </w:rPr>
        <w:t xml:space="preserve">e ad informare il </w:t>
      </w:r>
      <w:proofErr w:type="gramStart"/>
      <w:r w:rsidRPr="00FC02F5">
        <w:rPr>
          <w:rStyle w:val="markedcontent"/>
          <w:rFonts w:ascii="Garamond" w:hAnsi="Garamond"/>
          <w:i/>
          <w:sz w:val="28"/>
          <w:szCs w:val="28"/>
        </w:rPr>
        <w:t>Consiglio di Amministrazione</w:t>
      </w:r>
      <w:proofErr w:type="gramEnd"/>
      <w:r w:rsidRPr="00FC02F5">
        <w:rPr>
          <w:rStyle w:val="markedcontent"/>
          <w:rFonts w:ascii="Garamond" w:hAnsi="Garamond"/>
          <w:i/>
          <w:sz w:val="28"/>
          <w:szCs w:val="28"/>
        </w:rPr>
        <w:t xml:space="preserve"> e la Commissione Etica</w:t>
      </w:r>
      <w:r w:rsidRPr="00FC02F5">
        <w:rPr>
          <w:rStyle w:val="markedcontent"/>
          <w:rFonts w:ascii="Garamond" w:hAnsi="Garamond"/>
          <w:sz w:val="28"/>
          <w:szCs w:val="28"/>
        </w:rPr>
        <w:t>”.</w:t>
      </w:r>
    </w:p>
    <w:p w14:paraId="66FC8B1F" w14:textId="77777777" w:rsidR="00840A66" w:rsidRPr="00840A66" w:rsidRDefault="00840A66" w:rsidP="00FC02F5">
      <w:pPr>
        <w:spacing w:after="0" w:line="276" w:lineRule="auto"/>
        <w:ind w:left="709"/>
        <w:jc w:val="both"/>
        <w:rPr>
          <w:rStyle w:val="markedcontent"/>
          <w:rFonts w:ascii="Garamond" w:hAnsi="Garamond"/>
          <w:sz w:val="28"/>
          <w:szCs w:val="28"/>
        </w:rPr>
      </w:pPr>
    </w:p>
    <w:p w14:paraId="79A26793" w14:textId="77777777" w:rsidR="009E04E4" w:rsidRDefault="009E04E4" w:rsidP="00112E5B">
      <w:pPr>
        <w:spacing w:after="0" w:line="276" w:lineRule="auto"/>
        <w:jc w:val="both"/>
        <w:rPr>
          <w:rStyle w:val="markedcontent"/>
          <w:rFonts w:ascii="Garamond" w:hAnsi="Garamond"/>
          <w:b/>
          <w:sz w:val="28"/>
          <w:szCs w:val="28"/>
          <w:u w:val="single"/>
        </w:rPr>
      </w:pPr>
    </w:p>
    <w:p w14:paraId="688400EB" w14:textId="77777777" w:rsidR="009E04E4" w:rsidRDefault="009E04E4">
      <w:pPr>
        <w:rPr>
          <w:rStyle w:val="markedcontent"/>
          <w:rFonts w:ascii="Garamond" w:hAnsi="Garamond"/>
          <w:b/>
          <w:sz w:val="28"/>
          <w:szCs w:val="28"/>
          <w:u w:val="single"/>
        </w:rPr>
      </w:pPr>
      <w:r>
        <w:rPr>
          <w:rStyle w:val="markedcontent"/>
          <w:rFonts w:ascii="Garamond" w:hAnsi="Garamond"/>
          <w:b/>
          <w:sz w:val="28"/>
          <w:szCs w:val="28"/>
          <w:u w:val="single"/>
        </w:rPr>
        <w:br w:type="page"/>
      </w:r>
    </w:p>
    <w:p w14:paraId="017200BA" w14:textId="41C1F02F" w:rsidR="00894918" w:rsidRPr="00E9492C" w:rsidRDefault="00894918" w:rsidP="00112E5B">
      <w:pPr>
        <w:spacing w:after="0" w:line="276" w:lineRule="auto"/>
        <w:jc w:val="both"/>
        <w:rPr>
          <w:rStyle w:val="markedcontent"/>
          <w:rFonts w:ascii="Garamond" w:hAnsi="Garamond"/>
          <w:b/>
          <w:sz w:val="28"/>
          <w:szCs w:val="28"/>
          <w:u w:val="single"/>
        </w:rPr>
      </w:pPr>
      <w:r w:rsidRPr="00E9492C">
        <w:rPr>
          <w:rStyle w:val="markedcontent"/>
          <w:rFonts w:ascii="Garamond" w:hAnsi="Garamond"/>
          <w:b/>
          <w:sz w:val="28"/>
          <w:szCs w:val="28"/>
          <w:u w:val="single"/>
        </w:rPr>
        <w:lastRenderedPageBreak/>
        <w:t xml:space="preserve">Formazione </w:t>
      </w:r>
    </w:p>
    <w:p w14:paraId="0D929898" w14:textId="518FD6F3" w:rsidR="00FC02F5" w:rsidRDefault="008C7CFB" w:rsidP="002C29E8">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w:t>
      </w:r>
      <w:r w:rsidRPr="00FC02F5">
        <w:rPr>
          <w:rStyle w:val="markedcontent"/>
          <w:rFonts w:ascii="Garamond" w:hAnsi="Garamond"/>
          <w:sz w:val="28"/>
          <w:szCs w:val="28"/>
        </w:rPr>
        <w:t xml:space="preserve"> </w:t>
      </w:r>
      <w:r>
        <w:rPr>
          <w:rStyle w:val="markedcontent"/>
          <w:rFonts w:ascii="Garamond" w:hAnsi="Garamond"/>
          <w:sz w:val="28"/>
          <w:szCs w:val="28"/>
        </w:rPr>
        <w:t xml:space="preserve">il </w:t>
      </w:r>
      <w:r w:rsidR="00FC02F5" w:rsidRPr="00FC02F5">
        <w:rPr>
          <w:rStyle w:val="markedcontent"/>
          <w:rFonts w:ascii="Garamond" w:hAnsi="Garamond"/>
          <w:sz w:val="28"/>
          <w:szCs w:val="28"/>
        </w:rPr>
        <w:t xml:space="preserve">l Responsabile dell’Unità di Staff della Direzione generale </w:t>
      </w:r>
      <w:r w:rsidR="002C29E8">
        <w:rPr>
          <w:rStyle w:val="markedcontent"/>
          <w:rFonts w:ascii="Garamond" w:hAnsi="Garamond"/>
          <w:sz w:val="28"/>
          <w:szCs w:val="28"/>
        </w:rPr>
        <w:t>ha attestato che:</w:t>
      </w:r>
    </w:p>
    <w:p w14:paraId="4BF4BB76" w14:textId="02F85F3B" w:rsidR="00FC02F5" w:rsidRDefault="00FC02F5" w:rsidP="002C29E8">
      <w:pPr>
        <w:pStyle w:val="Paragrafoelenco"/>
        <w:numPr>
          <w:ilvl w:val="0"/>
          <w:numId w:val="6"/>
        </w:numPr>
        <w:spacing w:after="0" w:line="276" w:lineRule="auto"/>
        <w:jc w:val="both"/>
        <w:rPr>
          <w:rStyle w:val="markedcontent"/>
          <w:rFonts w:ascii="Garamond" w:hAnsi="Garamond"/>
          <w:sz w:val="28"/>
          <w:szCs w:val="28"/>
        </w:rPr>
      </w:pPr>
      <w:r w:rsidRPr="00FC02F5">
        <w:rPr>
          <w:rStyle w:val="markedcontent"/>
          <w:rFonts w:ascii="Garamond" w:hAnsi="Garamond"/>
          <w:sz w:val="28"/>
          <w:szCs w:val="28"/>
        </w:rPr>
        <w:t>è stata erogata attività formativa generale a cui hanno partecipato</w:t>
      </w:r>
      <w:r>
        <w:rPr>
          <w:rStyle w:val="markedcontent"/>
          <w:rFonts w:ascii="Garamond" w:hAnsi="Garamond"/>
          <w:sz w:val="28"/>
          <w:szCs w:val="28"/>
        </w:rPr>
        <w:t xml:space="preserve"> </w:t>
      </w:r>
      <w:r w:rsidRPr="00FC02F5">
        <w:rPr>
          <w:rStyle w:val="markedcontent"/>
          <w:rFonts w:ascii="Garamond" w:hAnsi="Garamond"/>
          <w:sz w:val="28"/>
          <w:szCs w:val="28"/>
        </w:rPr>
        <w:t>comple</w:t>
      </w:r>
      <w:r w:rsidR="008C7CFB">
        <w:rPr>
          <w:rStyle w:val="markedcontent"/>
          <w:rFonts w:ascii="Garamond" w:hAnsi="Garamond"/>
          <w:sz w:val="28"/>
          <w:szCs w:val="28"/>
        </w:rPr>
        <w:t>ssivamente più di 80 dipendenti</w:t>
      </w:r>
    </w:p>
    <w:p w14:paraId="06C884B6" w14:textId="31078A0E" w:rsidR="00FC02F5" w:rsidRDefault="00FC02F5" w:rsidP="002C29E8">
      <w:pPr>
        <w:pStyle w:val="Paragrafoelenco"/>
        <w:numPr>
          <w:ilvl w:val="0"/>
          <w:numId w:val="6"/>
        </w:numPr>
        <w:spacing w:after="0" w:line="276" w:lineRule="auto"/>
        <w:jc w:val="both"/>
        <w:rPr>
          <w:rStyle w:val="markedcontent"/>
          <w:rFonts w:ascii="Garamond" w:hAnsi="Garamond"/>
          <w:sz w:val="28"/>
          <w:szCs w:val="28"/>
        </w:rPr>
      </w:pPr>
      <w:r w:rsidRPr="00FC02F5">
        <w:rPr>
          <w:rStyle w:val="markedcontent"/>
          <w:rFonts w:ascii="Garamond" w:hAnsi="Garamond"/>
          <w:sz w:val="28"/>
          <w:szCs w:val="28"/>
        </w:rPr>
        <w:t>è stata erogata attività formativa specifica a cui hanno partecipato</w:t>
      </w:r>
      <w:r>
        <w:rPr>
          <w:rStyle w:val="markedcontent"/>
          <w:rFonts w:ascii="Garamond" w:hAnsi="Garamond"/>
          <w:sz w:val="28"/>
          <w:szCs w:val="28"/>
        </w:rPr>
        <w:t xml:space="preserve"> </w:t>
      </w:r>
      <w:r w:rsidRPr="00FC02F5">
        <w:rPr>
          <w:rStyle w:val="markedcontent"/>
          <w:rFonts w:ascii="Garamond" w:hAnsi="Garamond"/>
          <w:sz w:val="28"/>
          <w:szCs w:val="28"/>
        </w:rPr>
        <w:t>comple</w:t>
      </w:r>
      <w:r w:rsidR="008C7CFB">
        <w:rPr>
          <w:rStyle w:val="markedcontent"/>
          <w:rFonts w:ascii="Garamond" w:hAnsi="Garamond"/>
          <w:sz w:val="28"/>
          <w:szCs w:val="28"/>
        </w:rPr>
        <w:t>ssivamente più di 50 dipendenti</w:t>
      </w:r>
      <w:r>
        <w:rPr>
          <w:rStyle w:val="markedcontent"/>
          <w:rFonts w:ascii="Garamond" w:hAnsi="Garamond"/>
          <w:sz w:val="28"/>
          <w:szCs w:val="28"/>
        </w:rPr>
        <w:t xml:space="preserve"> </w:t>
      </w:r>
    </w:p>
    <w:p w14:paraId="5597E606" w14:textId="37A1C0F5" w:rsidR="00FC02F5" w:rsidRDefault="00FC02F5" w:rsidP="002C29E8">
      <w:pPr>
        <w:pStyle w:val="Paragrafoelenco"/>
        <w:numPr>
          <w:ilvl w:val="0"/>
          <w:numId w:val="6"/>
        </w:numPr>
        <w:spacing w:after="0" w:line="276" w:lineRule="auto"/>
        <w:jc w:val="both"/>
        <w:rPr>
          <w:rStyle w:val="markedcontent"/>
          <w:rFonts w:ascii="Garamond" w:hAnsi="Garamond"/>
          <w:sz w:val="28"/>
          <w:szCs w:val="28"/>
        </w:rPr>
      </w:pPr>
      <w:r w:rsidRPr="00FC02F5">
        <w:rPr>
          <w:rStyle w:val="markedcontent"/>
          <w:rFonts w:ascii="Garamond" w:hAnsi="Garamond"/>
          <w:sz w:val="28"/>
          <w:szCs w:val="28"/>
        </w:rPr>
        <w:t>è stata erogata attività formativa in materia di prevenzione della</w:t>
      </w:r>
      <w:r>
        <w:rPr>
          <w:rStyle w:val="markedcontent"/>
          <w:rFonts w:ascii="Garamond" w:hAnsi="Garamond"/>
          <w:sz w:val="28"/>
          <w:szCs w:val="28"/>
        </w:rPr>
        <w:t xml:space="preserve"> </w:t>
      </w:r>
      <w:r w:rsidR="008C7CFB">
        <w:rPr>
          <w:rStyle w:val="markedcontent"/>
          <w:rFonts w:ascii="Garamond" w:hAnsi="Garamond"/>
          <w:sz w:val="28"/>
          <w:szCs w:val="28"/>
        </w:rPr>
        <w:t>corruzione</w:t>
      </w:r>
    </w:p>
    <w:p w14:paraId="3F605EF4" w14:textId="0472F40E" w:rsidR="00FC02F5" w:rsidRDefault="00FC02F5" w:rsidP="002C29E8">
      <w:pPr>
        <w:pStyle w:val="Paragrafoelenco"/>
        <w:numPr>
          <w:ilvl w:val="0"/>
          <w:numId w:val="6"/>
        </w:numPr>
        <w:spacing w:after="0" w:line="276" w:lineRule="auto"/>
        <w:jc w:val="both"/>
        <w:rPr>
          <w:rStyle w:val="markedcontent"/>
          <w:rFonts w:ascii="Garamond" w:hAnsi="Garamond"/>
          <w:sz w:val="28"/>
          <w:szCs w:val="28"/>
        </w:rPr>
      </w:pPr>
      <w:r w:rsidRPr="00FC02F5">
        <w:rPr>
          <w:rStyle w:val="markedcontent"/>
          <w:rFonts w:ascii="Garamond" w:hAnsi="Garamond"/>
          <w:sz w:val="28"/>
          <w:szCs w:val="28"/>
        </w:rPr>
        <w:t>non è stato adottato dall’Ateneo il Piano della Formazione con specifica sezione</w:t>
      </w:r>
      <w:r>
        <w:rPr>
          <w:rStyle w:val="markedcontent"/>
          <w:rFonts w:ascii="Garamond" w:hAnsi="Garamond"/>
          <w:sz w:val="28"/>
          <w:szCs w:val="28"/>
        </w:rPr>
        <w:t xml:space="preserve"> </w:t>
      </w:r>
      <w:r w:rsidRPr="00FC02F5">
        <w:rPr>
          <w:rStyle w:val="markedcontent"/>
          <w:rFonts w:ascii="Garamond" w:hAnsi="Garamond"/>
          <w:sz w:val="28"/>
          <w:szCs w:val="28"/>
        </w:rPr>
        <w:t>della formazione per la prevenzione della corruzione in quanto una bozza è</w:t>
      </w:r>
      <w:r>
        <w:rPr>
          <w:rStyle w:val="markedcontent"/>
          <w:rFonts w:ascii="Garamond" w:hAnsi="Garamond"/>
          <w:sz w:val="28"/>
          <w:szCs w:val="28"/>
        </w:rPr>
        <w:t xml:space="preserve"> </w:t>
      </w:r>
      <w:r w:rsidRPr="00FC02F5">
        <w:rPr>
          <w:rStyle w:val="markedcontent"/>
          <w:rFonts w:ascii="Garamond" w:hAnsi="Garamond"/>
          <w:sz w:val="28"/>
          <w:szCs w:val="28"/>
        </w:rPr>
        <w:t>stata sottoposta “</w:t>
      </w:r>
      <w:r w:rsidRPr="009E04E4">
        <w:rPr>
          <w:rStyle w:val="markedcontent"/>
          <w:rFonts w:ascii="Garamond" w:hAnsi="Garamond"/>
          <w:i/>
          <w:sz w:val="28"/>
          <w:szCs w:val="28"/>
        </w:rPr>
        <w:t>all’attenzione delle Rappresentanze Sindacali, in data 8 novembre 2021, che hanno chiesto l’integrazione dello stesso con ulteriori misure formative a favore dei funzionari tecnici. È in corso l’integrazione richiesta, preo</w:t>
      </w:r>
      <w:r w:rsidR="008C7CFB" w:rsidRPr="009E04E4">
        <w:rPr>
          <w:rStyle w:val="markedcontent"/>
          <w:rFonts w:ascii="Garamond" w:hAnsi="Garamond"/>
          <w:i/>
          <w:sz w:val="28"/>
          <w:szCs w:val="28"/>
        </w:rPr>
        <w:t>rdinata all’adozione del Piano</w:t>
      </w:r>
      <w:r w:rsidR="008C7CFB">
        <w:rPr>
          <w:rStyle w:val="markedcontent"/>
          <w:rFonts w:ascii="Garamond" w:hAnsi="Garamond"/>
          <w:sz w:val="28"/>
          <w:szCs w:val="28"/>
        </w:rPr>
        <w:t>”</w:t>
      </w:r>
    </w:p>
    <w:p w14:paraId="6F278A42" w14:textId="6D366A33" w:rsidR="00FC02F5" w:rsidRDefault="00FC02F5" w:rsidP="002C29E8">
      <w:pPr>
        <w:pStyle w:val="Paragrafoelenco"/>
        <w:numPr>
          <w:ilvl w:val="0"/>
          <w:numId w:val="6"/>
        </w:numPr>
        <w:spacing w:after="0" w:line="276" w:lineRule="auto"/>
        <w:jc w:val="both"/>
        <w:rPr>
          <w:rStyle w:val="markedcontent"/>
          <w:rFonts w:ascii="Garamond" w:hAnsi="Garamond"/>
          <w:sz w:val="28"/>
          <w:szCs w:val="28"/>
        </w:rPr>
      </w:pPr>
      <w:r w:rsidRPr="00FC02F5">
        <w:rPr>
          <w:rStyle w:val="markedcontent"/>
          <w:rFonts w:ascii="Garamond" w:hAnsi="Garamond"/>
          <w:sz w:val="28"/>
          <w:szCs w:val="28"/>
        </w:rPr>
        <w:t>i soggetti che hanno erogato la formazione sono “stati individuati sulla base</w:t>
      </w:r>
      <w:r>
        <w:rPr>
          <w:rStyle w:val="markedcontent"/>
          <w:rFonts w:ascii="Garamond" w:hAnsi="Garamond"/>
          <w:sz w:val="28"/>
          <w:szCs w:val="28"/>
        </w:rPr>
        <w:t xml:space="preserve"> </w:t>
      </w:r>
      <w:r w:rsidRPr="00FC02F5">
        <w:rPr>
          <w:rStyle w:val="markedcontent"/>
          <w:rFonts w:ascii="Garamond" w:hAnsi="Garamond"/>
          <w:sz w:val="28"/>
          <w:szCs w:val="28"/>
        </w:rPr>
        <w:t>delle specifiche competenze in relazione ai fabbisogni formativi da soddisfare,</w:t>
      </w:r>
      <w:r>
        <w:rPr>
          <w:rStyle w:val="markedcontent"/>
          <w:rFonts w:ascii="Garamond" w:hAnsi="Garamond"/>
          <w:sz w:val="28"/>
          <w:szCs w:val="28"/>
        </w:rPr>
        <w:t xml:space="preserve"> </w:t>
      </w:r>
      <w:r w:rsidRPr="00FC02F5">
        <w:rPr>
          <w:rStyle w:val="markedcontent"/>
          <w:rFonts w:ascii="Garamond" w:hAnsi="Garamond"/>
          <w:sz w:val="28"/>
          <w:szCs w:val="28"/>
        </w:rPr>
        <w:t>valutat</w:t>
      </w:r>
      <w:r w:rsidR="008C7CFB">
        <w:rPr>
          <w:rStyle w:val="markedcontent"/>
          <w:rFonts w:ascii="Garamond" w:hAnsi="Garamond"/>
          <w:sz w:val="28"/>
          <w:szCs w:val="28"/>
        </w:rPr>
        <w:t>a l’offerta formativa proposta</w:t>
      </w:r>
    </w:p>
    <w:p w14:paraId="5AEFFB17" w14:textId="4D26C8B6" w:rsidR="00FC02F5" w:rsidRDefault="00FC02F5" w:rsidP="002C29E8">
      <w:pPr>
        <w:pStyle w:val="Paragrafoelenco"/>
        <w:numPr>
          <w:ilvl w:val="0"/>
          <w:numId w:val="6"/>
        </w:numPr>
        <w:spacing w:after="0" w:line="276" w:lineRule="auto"/>
        <w:jc w:val="both"/>
        <w:rPr>
          <w:rStyle w:val="markedcontent"/>
          <w:rFonts w:ascii="Garamond" w:hAnsi="Garamond"/>
          <w:sz w:val="28"/>
          <w:szCs w:val="28"/>
        </w:rPr>
      </w:pPr>
      <w:r w:rsidRPr="00FC02F5">
        <w:rPr>
          <w:rStyle w:val="markedcontent"/>
          <w:rFonts w:ascii="Garamond" w:hAnsi="Garamond"/>
          <w:sz w:val="28"/>
          <w:szCs w:val="28"/>
        </w:rPr>
        <w:t>i destinatari della formazione sono stati individuati sulla base delle specifiche</w:t>
      </w:r>
      <w:r>
        <w:rPr>
          <w:rStyle w:val="markedcontent"/>
          <w:rFonts w:ascii="Garamond" w:hAnsi="Garamond"/>
          <w:sz w:val="28"/>
          <w:szCs w:val="28"/>
        </w:rPr>
        <w:t xml:space="preserve"> </w:t>
      </w:r>
      <w:r w:rsidRPr="00FC02F5">
        <w:rPr>
          <w:rStyle w:val="markedcontent"/>
          <w:rFonts w:ascii="Garamond" w:hAnsi="Garamond"/>
          <w:sz w:val="28"/>
          <w:szCs w:val="28"/>
        </w:rPr>
        <w:t>richieste dei responsabili degli uffici nonché seguendo le indicazioni emerse dai</w:t>
      </w:r>
      <w:r>
        <w:rPr>
          <w:rStyle w:val="markedcontent"/>
          <w:rFonts w:ascii="Garamond" w:hAnsi="Garamond"/>
          <w:sz w:val="28"/>
          <w:szCs w:val="28"/>
        </w:rPr>
        <w:t xml:space="preserve"> </w:t>
      </w:r>
      <w:r w:rsidRPr="00FC02F5">
        <w:rPr>
          <w:rStyle w:val="markedcontent"/>
          <w:rFonts w:ascii="Garamond" w:hAnsi="Garamond"/>
          <w:sz w:val="28"/>
          <w:szCs w:val="28"/>
        </w:rPr>
        <w:t>lavori istruttori preordinate alla redazione del Piano di F</w:t>
      </w:r>
      <w:r w:rsidR="008C7CFB">
        <w:rPr>
          <w:rStyle w:val="markedcontent"/>
          <w:rFonts w:ascii="Garamond" w:hAnsi="Garamond"/>
          <w:sz w:val="28"/>
          <w:szCs w:val="28"/>
        </w:rPr>
        <w:t>ormazione di Ateneo</w:t>
      </w:r>
    </w:p>
    <w:p w14:paraId="43807799" w14:textId="63EED717" w:rsidR="00A71084" w:rsidRPr="00FC02F5" w:rsidRDefault="00FC02F5" w:rsidP="002C29E8">
      <w:pPr>
        <w:pStyle w:val="Paragrafoelenco"/>
        <w:numPr>
          <w:ilvl w:val="0"/>
          <w:numId w:val="6"/>
        </w:numPr>
        <w:spacing w:after="0" w:line="276" w:lineRule="auto"/>
        <w:jc w:val="both"/>
        <w:rPr>
          <w:rStyle w:val="markedcontent"/>
          <w:rFonts w:ascii="Garamond" w:hAnsi="Garamond"/>
          <w:sz w:val="28"/>
          <w:szCs w:val="28"/>
        </w:rPr>
      </w:pPr>
      <w:r w:rsidRPr="00FC02F5">
        <w:rPr>
          <w:rStyle w:val="markedcontent"/>
          <w:rFonts w:ascii="Garamond" w:hAnsi="Garamond"/>
          <w:sz w:val="28"/>
          <w:szCs w:val="28"/>
        </w:rPr>
        <w:t>l’Ateneo ha intrapreso iniziative formative dirette a far conoscere al personale</w:t>
      </w:r>
      <w:r>
        <w:rPr>
          <w:rStyle w:val="markedcontent"/>
          <w:rFonts w:ascii="Garamond" w:hAnsi="Garamond"/>
          <w:sz w:val="28"/>
          <w:szCs w:val="28"/>
        </w:rPr>
        <w:t xml:space="preserve"> </w:t>
      </w:r>
      <w:r w:rsidRPr="00FC02F5">
        <w:rPr>
          <w:rStyle w:val="markedcontent"/>
          <w:rFonts w:ascii="Garamond" w:hAnsi="Garamond"/>
          <w:sz w:val="28"/>
          <w:szCs w:val="28"/>
        </w:rPr>
        <w:t>dell’Ateneo la sussistenza dell’obbligo di astensione, delle conseguenze</w:t>
      </w:r>
      <w:r>
        <w:rPr>
          <w:rStyle w:val="markedcontent"/>
          <w:rFonts w:ascii="Garamond" w:hAnsi="Garamond"/>
          <w:sz w:val="28"/>
          <w:szCs w:val="28"/>
        </w:rPr>
        <w:t xml:space="preserve"> </w:t>
      </w:r>
      <w:r w:rsidRPr="00FC02F5">
        <w:rPr>
          <w:rStyle w:val="markedcontent"/>
          <w:rFonts w:ascii="Garamond" w:hAnsi="Garamond"/>
          <w:sz w:val="28"/>
          <w:szCs w:val="28"/>
        </w:rPr>
        <w:t>scaturenti dalla sua violazione e dei comportamenti da seguire in caso di</w:t>
      </w:r>
      <w:r>
        <w:rPr>
          <w:rStyle w:val="markedcontent"/>
          <w:rFonts w:ascii="Garamond" w:hAnsi="Garamond"/>
          <w:sz w:val="28"/>
          <w:szCs w:val="28"/>
        </w:rPr>
        <w:t xml:space="preserve"> </w:t>
      </w:r>
      <w:r w:rsidRPr="00FC02F5">
        <w:rPr>
          <w:rStyle w:val="markedcontent"/>
          <w:rFonts w:ascii="Garamond" w:hAnsi="Garamond"/>
          <w:sz w:val="28"/>
          <w:szCs w:val="28"/>
        </w:rPr>
        <w:t>conflitto di interesse</w:t>
      </w:r>
      <w:r w:rsidR="008C7CFB">
        <w:rPr>
          <w:rStyle w:val="markedcontent"/>
          <w:rFonts w:ascii="Garamond" w:hAnsi="Garamond"/>
          <w:sz w:val="28"/>
          <w:szCs w:val="28"/>
        </w:rPr>
        <w:t>.</w:t>
      </w:r>
    </w:p>
    <w:p w14:paraId="3279050B" w14:textId="77777777" w:rsidR="00FC02F5" w:rsidRDefault="00FC02F5" w:rsidP="00894918">
      <w:pPr>
        <w:spacing w:after="0" w:line="240" w:lineRule="auto"/>
        <w:jc w:val="both"/>
        <w:rPr>
          <w:rStyle w:val="markedcontent"/>
          <w:rFonts w:ascii="Garamond" w:hAnsi="Garamond"/>
          <w:sz w:val="28"/>
          <w:szCs w:val="28"/>
        </w:rPr>
      </w:pPr>
    </w:p>
    <w:p w14:paraId="67C35661" w14:textId="77777777" w:rsidR="00894918" w:rsidRPr="00E9492C" w:rsidRDefault="00894918" w:rsidP="00112E5B">
      <w:pPr>
        <w:spacing w:after="0" w:line="276" w:lineRule="auto"/>
        <w:jc w:val="both"/>
        <w:rPr>
          <w:rStyle w:val="markedcontent"/>
          <w:rFonts w:ascii="Garamond" w:hAnsi="Garamond"/>
          <w:b/>
          <w:sz w:val="28"/>
          <w:szCs w:val="28"/>
          <w:u w:val="single"/>
        </w:rPr>
      </w:pPr>
      <w:r w:rsidRPr="00E9492C">
        <w:rPr>
          <w:rStyle w:val="markedcontent"/>
          <w:rFonts w:ascii="Garamond" w:hAnsi="Garamond"/>
          <w:b/>
          <w:sz w:val="28"/>
          <w:szCs w:val="28"/>
          <w:u w:val="single"/>
        </w:rPr>
        <w:t>Misure di disciplina del conflitto d'interesse: obblighi di comunicazione e di astensione</w:t>
      </w:r>
    </w:p>
    <w:p w14:paraId="4BD5A9D8" w14:textId="286A708A" w:rsidR="00FC02F5" w:rsidRPr="00FC02F5" w:rsidRDefault="008C7CFB" w:rsidP="00FC02F5">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 i</w:t>
      </w:r>
      <w:r w:rsidR="00FC02F5" w:rsidRPr="00FC02F5">
        <w:rPr>
          <w:rStyle w:val="markedcontent"/>
          <w:rFonts w:ascii="Garamond" w:hAnsi="Garamond"/>
          <w:sz w:val="28"/>
          <w:szCs w:val="28"/>
        </w:rPr>
        <w:t>l Referente TAC del Settore Risorse Umane ha attestato che</w:t>
      </w:r>
      <w:r w:rsidR="002C29E8">
        <w:rPr>
          <w:rStyle w:val="markedcontent"/>
          <w:rFonts w:ascii="Garamond" w:hAnsi="Garamond"/>
          <w:sz w:val="28"/>
          <w:szCs w:val="28"/>
        </w:rPr>
        <w:t>:</w:t>
      </w:r>
      <w:r w:rsidR="00FC02F5" w:rsidRPr="00FC02F5">
        <w:rPr>
          <w:rStyle w:val="markedcontent"/>
          <w:rFonts w:ascii="Garamond" w:hAnsi="Garamond"/>
          <w:sz w:val="28"/>
          <w:szCs w:val="28"/>
        </w:rPr>
        <w:t xml:space="preserve"> </w:t>
      </w:r>
    </w:p>
    <w:p w14:paraId="5EE19ECE" w14:textId="68F11D04" w:rsidR="00FC02F5" w:rsidRDefault="00FC02F5" w:rsidP="00F336A6">
      <w:pPr>
        <w:pStyle w:val="Paragrafoelenco"/>
        <w:numPr>
          <w:ilvl w:val="0"/>
          <w:numId w:val="6"/>
        </w:numPr>
        <w:spacing w:after="0" w:line="276" w:lineRule="auto"/>
        <w:jc w:val="both"/>
        <w:rPr>
          <w:rStyle w:val="markedcontent"/>
          <w:rFonts w:ascii="Garamond" w:hAnsi="Garamond"/>
          <w:sz w:val="28"/>
          <w:szCs w:val="28"/>
        </w:rPr>
      </w:pPr>
      <w:r w:rsidRPr="00FC02F5">
        <w:rPr>
          <w:rStyle w:val="markedcontent"/>
          <w:rFonts w:ascii="Garamond" w:hAnsi="Garamond"/>
          <w:sz w:val="28"/>
          <w:szCs w:val="28"/>
        </w:rPr>
        <w:t>non si sono verificati casi di conflitto di interesse, anche potenziali, in uffici competenti a adottare pareri, valutazioni tecniche, atti endoprocedi</w:t>
      </w:r>
      <w:r w:rsidR="008C7CFB">
        <w:rPr>
          <w:rStyle w:val="markedcontent"/>
          <w:rFonts w:ascii="Garamond" w:hAnsi="Garamond"/>
          <w:sz w:val="28"/>
          <w:szCs w:val="28"/>
        </w:rPr>
        <w:t>mentali e provvedimenti finali</w:t>
      </w:r>
    </w:p>
    <w:p w14:paraId="10962ECA" w14:textId="2EC52BBD" w:rsidR="00FC02F5" w:rsidRDefault="00FC02F5" w:rsidP="00E30507">
      <w:pPr>
        <w:pStyle w:val="Paragrafoelenco"/>
        <w:numPr>
          <w:ilvl w:val="0"/>
          <w:numId w:val="6"/>
        </w:numPr>
        <w:spacing w:after="0" w:line="276" w:lineRule="auto"/>
        <w:jc w:val="both"/>
        <w:rPr>
          <w:rStyle w:val="markedcontent"/>
          <w:rFonts w:ascii="Garamond" w:hAnsi="Garamond"/>
          <w:sz w:val="28"/>
          <w:szCs w:val="28"/>
        </w:rPr>
      </w:pPr>
      <w:r w:rsidRPr="00FC02F5">
        <w:rPr>
          <w:rStyle w:val="markedcontent"/>
          <w:rFonts w:ascii="Garamond" w:hAnsi="Garamond"/>
          <w:sz w:val="28"/>
          <w:szCs w:val="28"/>
        </w:rPr>
        <w:t>prima del conferimento dell’incarico ai consulenti e collaboratori si è proceduto ad acquisire la dichiarazione sulla insussistenza di situazioni di conflitto di interessi, anche potenziali, e alla successiva pubblicaz</w:t>
      </w:r>
      <w:r w:rsidR="008C7CFB">
        <w:rPr>
          <w:rStyle w:val="markedcontent"/>
          <w:rFonts w:ascii="Garamond" w:hAnsi="Garamond"/>
          <w:sz w:val="28"/>
          <w:szCs w:val="28"/>
        </w:rPr>
        <w:t>ione nell’apposita piattaforma</w:t>
      </w:r>
    </w:p>
    <w:p w14:paraId="6C8DA8B6" w14:textId="77777777" w:rsidR="00FC02F5" w:rsidRDefault="00FC02F5" w:rsidP="00E30507">
      <w:pPr>
        <w:pStyle w:val="Paragrafoelenco"/>
        <w:numPr>
          <w:ilvl w:val="0"/>
          <w:numId w:val="6"/>
        </w:numPr>
        <w:spacing w:after="0" w:line="276" w:lineRule="auto"/>
        <w:jc w:val="both"/>
        <w:rPr>
          <w:rStyle w:val="markedcontent"/>
          <w:rFonts w:ascii="Garamond" w:hAnsi="Garamond"/>
          <w:sz w:val="28"/>
          <w:szCs w:val="28"/>
        </w:rPr>
      </w:pPr>
      <w:r w:rsidRPr="00FC02F5">
        <w:rPr>
          <w:rStyle w:val="markedcontent"/>
          <w:rFonts w:ascii="Garamond" w:hAnsi="Garamond"/>
          <w:sz w:val="28"/>
          <w:szCs w:val="28"/>
        </w:rPr>
        <w:t>per i consulenti e collaboratori si è proceduto al controllo a campione, con</w:t>
      </w:r>
      <w:r>
        <w:rPr>
          <w:rStyle w:val="markedcontent"/>
          <w:rFonts w:ascii="Garamond" w:hAnsi="Garamond"/>
          <w:sz w:val="28"/>
          <w:szCs w:val="28"/>
        </w:rPr>
        <w:t xml:space="preserve"> </w:t>
      </w:r>
      <w:r w:rsidRPr="00FC02F5">
        <w:rPr>
          <w:rStyle w:val="markedcontent"/>
          <w:rFonts w:ascii="Garamond" w:hAnsi="Garamond"/>
          <w:sz w:val="28"/>
          <w:szCs w:val="28"/>
        </w:rPr>
        <w:t>sorteggio, delle dichiarazioni di insussistenza di situazioni di conflitto di</w:t>
      </w:r>
      <w:r>
        <w:rPr>
          <w:rStyle w:val="markedcontent"/>
          <w:rFonts w:ascii="Garamond" w:hAnsi="Garamond"/>
          <w:sz w:val="28"/>
          <w:szCs w:val="28"/>
        </w:rPr>
        <w:t xml:space="preserve"> </w:t>
      </w:r>
      <w:r w:rsidRPr="00FC02F5">
        <w:rPr>
          <w:rStyle w:val="markedcontent"/>
          <w:rFonts w:ascii="Garamond" w:hAnsi="Garamond"/>
          <w:sz w:val="28"/>
          <w:szCs w:val="28"/>
        </w:rPr>
        <w:t>interessi, anche potenziali.</w:t>
      </w:r>
      <w:r>
        <w:rPr>
          <w:rStyle w:val="markedcontent"/>
          <w:rFonts w:ascii="Garamond" w:hAnsi="Garamond"/>
          <w:sz w:val="28"/>
          <w:szCs w:val="28"/>
        </w:rPr>
        <w:t xml:space="preserve"> </w:t>
      </w:r>
    </w:p>
    <w:p w14:paraId="118E4A34" w14:textId="77777777" w:rsidR="00FC02F5" w:rsidRDefault="00FC02F5" w:rsidP="00FC02F5">
      <w:pPr>
        <w:spacing w:after="0" w:line="276" w:lineRule="auto"/>
        <w:ind w:left="851" w:hanging="851"/>
        <w:jc w:val="both"/>
        <w:rPr>
          <w:rStyle w:val="markedcontent"/>
          <w:rFonts w:ascii="Garamond" w:hAnsi="Garamond"/>
          <w:sz w:val="28"/>
          <w:szCs w:val="28"/>
        </w:rPr>
      </w:pPr>
      <w:r w:rsidRPr="00FC02F5">
        <w:rPr>
          <w:rStyle w:val="markedcontent"/>
          <w:rFonts w:ascii="Garamond" w:hAnsi="Garamond"/>
          <w:sz w:val="28"/>
          <w:szCs w:val="28"/>
        </w:rPr>
        <w:t>Il Referente TAC del Centro Servizi Amministrativi e contabili di Ateneo ha attestato che</w:t>
      </w:r>
      <w:r w:rsidR="002C29E8">
        <w:rPr>
          <w:rStyle w:val="markedcontent"/>
          <w:rFonts w:ascii="Garamond" w:hAnsi="Garamond"/>
          <w:sz w:val="28"/>
          <w:szCs w:val="28"/>
        </w:rPr>
        <w:t>:</w:t>
      </w:r>
    </w:p>
    <w:p w14:paraId="1AC15894" w14:textId="79A294C4" w:rsidR="00FC02F5" w:rsidRDefault="00FC02F5" w:rsidP="007D2DC3">
      <w:pPr>
        <w:pStyle w:val="Paragrafoelenco"/>
        <w:numPr>
          <w:ilvl w:val="0"/>
          <w:numId w:val="6"/>
        </w:numPr>
        <w:spacing w:after="0" w:line="276" w:lineRule="auto"/>
        <w:ind w:left="851"/>
        <w:jc w:val="both"/>
        <w:rPr>
          <w:rStyle w:val="markedcontent"/>
          <w:rFonts w:ascii="Garamond" w:hAnsi="Garamond"/>
          <w:sz w:val="28"/>
          <w:szCs w:val="28"/>
        </w:rPr>
      </w:pPr>
      <w:r w:rsidRPr="00FC02F5">
        <w:rPr>
          <w:rStyle w:val="markedcontent"/>
          <w:rFonts w:ascii="Garamond" w:hAnsi="Garamond"/>
          <w:sz w:val="28"/>
          <w:szCs w:val="28"/>
        </w:rPr>
        <w:t>sono state acquisite le dichiarazioni degli operatori economici relative alla insussistenza di situazione di conflitto di interesse di cui al D.lgs. n. 50/2016 entro i termi</w:t>
      </w:r>
      <w:r w:rsidR="008C7CFB">
        <w:rPr>
          <w:rStyle w:val="markedcontent"/>
          <w:rFonts w:ascii="Garamond" w:hAnsi="Garamond"/>
          <w:sz w:val="28"/>
          <w:szCs w:val="28"/>
        </w:rPr>
        <w:t>ni previsti dal relativo bando</w:t>
      </w:r>
    </w:p>
    <w:p w14:paraId="066FD546" w14:textId="77777777" w:rsidR="00FC02F5" w:rsidRDefault="00FC02F5" w:rsidP="007D2DC3">
      <w:pPr>
        <w:pStyle w:val="Paragrafoelenco"/>
        <w:numPr>
          <w:ilvl w:val="0"/>
          <w:numId w:val="6"/>
        </w:numPr>
        <w:spacing w:after="0" w:line="276" w:lineRule="auto"/>
        <w:ind w:left="851"/>
        <w:jc w:val="both"/>
        <w:rPr>
          <w:rStyle w:val="markedcontent"/>
          <w:rFonts w:ascii="Garamond" w:hAnsi="Garamond"/>
          <w:sz w:val="28"/>
          <w:szCs w:val="28"/>
        </w:rPr>
      </w:pPr>
      <w:r w:rsidRPr="00FC02F5">
        <w:rPr>
          <w:rStyle w:val="markedcontent"/>
          <w:rFonts w:ascii="Garamond" w:hAnsi="Garamond"/>
          <w:sz w:val="28"/>
          <w:szCs w:val="28"/>
        </w:rPr>
        <w:lastRenderedPageBreak/>
        <w:t>non sono state riscontrate violazioni dell’obbligo di astensione e pertanto non</w:t>
      </w:r>
      <w:r>
        <w:rPr>
          <w:rStyle w:val="markedcontent"/>
          <w:rFonts w:ascii="Garamond" w:hAnsi="Garamond"/>
          <w:sz w:val="28"/>
          <w:szCs w:val="28"/>
        </w:rPr>
        <w:t xml:space="preserve"> </w:t>
      </w:r>
      <w:r w:rsidRPr="00FC02F5">
        <w:rPr>
          <w:rStyle w:val="markedcontent"/>
          <w:rFonts w:ascii="Garamond" w:hAnsi="Garamond"/>
          <w:sz w:val="28"/>
          <w:szCs w:val="28"/>
        </w:rPr>
        <w:t>è stata attivata la procedura prevista dal Codice Etico e di Comportamento di</w:t>
      </w:r>
      <w:r>
        <w:rPr>
          <w:rStyle w:val="markedcontent"/>
          <w:rFonts w:ascii="Garamond" w:hAnsi="Garamond"/>
          <w:sz w:val="28"/>
          <w:szCs w:val="28"/>
        </w:rPr>
        <w:t xml:space="preserve"> </w:t>
      </w:r>
      <w:r w:rsidRPr="00FC02F5">
        <w:rPr>
          <w:rStyle w:val="markedcontent"/>
          <w:rFonts w:ascii="Garamond" w:hAnsi="Garamond"/>
          <w:sz w:val="28"/>
          <w:szCs w:val="28"/>
        </w:rPr>
        <w:t>Ateneo.</w:t>
      </w:r>
    </w:p>
    <w:p w14:paraId="0B55980E" w14:textId="77777777" w:rsidR="00FC02F5" w:rsidRDefault="00FC02F5" w:rsidP="00FC02F5">
      <w:pPr>
        <w:spacing w:after="0" w:line="276" w:lineRule="auto"/>
        <w:jc w:val="both"/>
        <w:rPr>
          <w:rStyle w:val="markedcontent"/>
          <w:rFonts w:ascii="Garamond" w:hAnsi="Garamond"/>
          <w:sz w:val="28"/>
          <w:szCs w:val="28"/>
        </w:rPr>
      </w:pPr>
      <w:r w:rsidRPr="00FC02F5">
        <w:rPr>
          <w:rStyle w:val="markedcontent"/>
          <w:rFonts w:ascii="Garamond" w:hAnsi="Garamond"/>
          <w:sz w:val="28"/>
          <w:szCs w:val="28"/>
        </w:rPr>
        <w:t>Il Referente TAC del Settore Servizi Tecnici ha attestato che</w:t>
      </w:r>
      <w:r w:rsidR="002C29E8">
        <w:rPr>
          <w:rStyle w:val="markedcontent"/>
          <w:rFonts w:ascii="Garamond" w:hAnsi="Garamond"/>
          <w:sz w:val="28"/>
          <w:szCs w:val="28"/>
        </w:rPr>
        <w:t>:</w:t>
      </w:r>
      <w:r w:rsidRPr="00FC02F5">
        <w:rPr>
          <w:rStyle w:val="markedcontent"/>
          <w:rFonts w:ascii="Garamond" w:hAnsi="Garamond"/>
          <w:sz w:val="28"/>
          <w:szCs w:val="28"/>
        </w:rPr>
        <w:t xml:space="preserve"> </w:t>
      </w:r>
    </w:p>
    <w:p w14:paraId="6DB6F859" w14:textId="5762AC18" w:rsidR="00FC02F5" w:rsidRDefault="00FC02F5" w:rsidP="008C7CFB">
      <w:pPr>
        <w:pStyle w:val="Paragrafoelenco"/>
        <w:numPr>
          <w:ilvl w:val="0"/>
          <w:numId w:val="6"/>
        </w:numPr>
        <w:spacing w:after="0" w:line="276" w:lineRule="auto"/>
        <w:ind w:left="851"/>
        <w:jc w:val="both"/>
        <w:rPr>
          <w:rStyle w:val="markedcontent"/>
          <w:rFonts w:ascii="Garamond" w:hAnsi="Garamond"/>
          <w:sz w:val="28"/>
          <w:szCs w:val="28"/>
        </w:rPr>
      </w:pPr>
      <w:r w:rsidRPr="00FC02F5">
        <w:rPr>
          <w:rStyle w:val="markedcontent"/>
          <w:rFonts w:ascii="Garamond" w:hAnsi="Garamond"/>
          <w:sz w:val="28"/>
          <w:szCs w:val="28"/>
        </w:rPr>
        <w:t>non si sono verificati casi di conflitto di interesse, anche potenziali, in uffici</w:t>
      </w:r>
      <w:r>
        <w:rPr>
          <w:rStyle w:val="markedcontent"/>
          <w:rFonts w:ascii="Garamond" w:hAnsi="Garamond"/>
          <w:sz w:val="28"/>
          <w:szCs w:val="28"/>
        </w:rPr>
        <w:t xml:space="preserve"> </w:t>
      </w:r>
      <w:r w:rsidRPr="00FC02F5">
        <w:rPr>
          <w:rStyle w:val="markedcontent"/>
          <w:rFonts w:ascii="Garamond" w:hAnsi="Garamond"/>
          <w:sz w:val="28"/>
          <w:szCs w:val="28"/>
        </w:rPr>
        <w:t>competenti a adottare pareri, valutazioni tecniche, atti endoprocedimentali e</w:t>
      </w:r>
      <w:r>
        <w:rPr>
          <w:rStyle w:val="markedcontent"/>
          <w:rFonts w:ascii="Garamond" w:hAnsi="Garamond"/>
          <w:sz w:val="28"/>
          <w:szCs w:val="28"/>
        </w:rPr>
        <w:t xml:space="preserve"> </w:t>
      </w:r>
      <w:r w:rsidR="008C7CFB">
        <w:rPr>
          <w:rStyle w:val="markedcontent"/>
          <w:rFonts w:ascii="Garamond" w:hAnsi="Garamond"/>
          <w:sz w:val="28"/>
          <w:szCs w:val="28"/>
        </w:rPr>
        <w:t>provvedimenti finali</w:t>
      </w:r>
    </w:p>
    <w:p w14:paraId="1F624F11" w14:textId="53DCC003" w:rsidR="00FC02F5" w:rsidRDefault="00FC02F5" w:rsidP="008C7CFB">
      <w:pPr>
        <w:pStyle w:val="Paragrafoelenco"/>
        <w:numPr>
          <w:ilvl w:val="0"/>
          <w:numId w:val="6"/>
        </w:numPr>
        <w:spacing w:after="0" w:line="276" w:lineRule="auto"/>
        <w:ind w:left="851"/>
        <w:jc w:val="both"/>
        <w:rPr>
          <w:rStyle w:val="markedcontent"/>
          <w:rFonts w:ascii="Garamond" w:hAnsi="Garamond"/>
          <w:sz w:val="28"/>
          <w:szCs w:val="28"/>
        </w:rPr>
      </w:pPr>
      <w:r w:rsidRPr="00FC02F5">
        <w:rPr>
          <w:rStyle w:val="markedcontent"/>
          <w:rFonts w:ascii="Garamond" w:hAnsi="Garamond"/>
          <w:sz w:val="28"/>
          <w:szCs w:val="28"/>
        </w:rPr>
        <w:t>sono state acquisite le dichiarazioni degli operatori economici relative alla</w:t>
      </w:r>
      <w:r>
        <w:rPr>
          <w:rStyle w:val="markedcontent"/>
          <w:rFonts w:ascii="Garamond" w:hAnsi="Garamond"/>
          <w:sz w:val="28"/>
          <w:szCs w:val="28"/>
        </w:rPr>
        <w:t xml:space="preserve"> </w:t>
      </w:r>
      <w:r w:rsidRPr="00FC02F5">
        <w:rPr>
          <w:rStyle w:val="markedcontent"/>
          <w:rFonts w:ascii="Garamond" w:hAnsi="Garamond"/>
          <w:sz w:val="28"/>
          <w:szCs w:val="28"/>
        </w:rPr>
        <w:t>insussistenza di situazione di conflitto di interesse di cui al D.lgs. n. 50/2016</w:t>
      </w:r>
      <w:r>
        <w:rPr>
          <w:rStyle w:val="markedcontent"/>
          <w:rFonts w:ascii="Garamond" w:hAnsi="Garamond"/>
          <w:sz w:val="28"/>
          <w:szCs w:val="28"/>
        </w:rPr>
        <w:t xml:space="preserve"> </w:t>
      </w:r>
      <w:r w:rsidRPr="00FC02F5">
        <w:rPr>
          <w:rStyle w:val="markedcontent"/>
          <w:rFonts w:ascii="Garamond" w:hAnsi="Garamond"/>
          <w:sz w:val="28"/>
          <w:szCs w:val="28"/>
        </w:rPr>
        <w:t>entro i term</w:t>
      </w:r>
      <w:r w:rsidR="008C7CFB">
        <w:rPr>
          <w:rStyle w:val="markedcontent"/>
          <w:rFonts w:ascii="Garamond" w:hAnsi="Garamond"/>
          <w:sz w:val="28"/>
          <w:szCs w:val="28"/>
        </w:rPr>
        <w:t>ini previsti dal relativo bando</w:t>
      </w:r>
    </w:p>
    <w:p w14:paraId="198005D6" w14:textId="77777777" w:rsidR="00FC02F5" w:rsidRDefault="00FC02F5" w:rsidP="008C7CFB">
      <w:pPr>
        <w:pStyle w:val="Paragrafoelenco"/>
        <w:numPr>
          <w:ilvl w:val="0"/>
          <w:numId w:val="6"/>
        </w:numPr>
        <w:spacing w:after="0" w:line="276" w:lineRule="auto"/>
        <w:ind w:left="851"/>
        <w:jc w:val="both"/>
        <w:rPr>
          <w:rStyle w:val="markedcontent"/>
          <w:rFonts w:ascii="Garamond" w:hAnsi="Garamond"/>
          <w:sz w:val="28"/>
          <w:szCs w:val="28"/>
        </w:rPr>
      </w:pPr>
      <w:r w:rsidRPr="00FC02F5">
        <w:rPr>
          <w:rStyle w:val="markedcontent"/>
          <w:rFonts w:ascii="Garamond" w:hAnsi="Garamond"/>
          <w:sz w:val="28"/>
          <w:szCs w:val="28"/>
        </w:rPr>
        <w:t>non sono state riscontrate violazioni dell’obbligo di astensione e pertanto non</w:t>
      </w:r>
      <w:r>
        <w:rPr>
          <w:rStyle w:val="markedcontent"/>
          <w:rFonts w:ascii="Garamond" w:hAnsi="Garamond"/>
          <w:sz w:val="28"/>
          <w:szCs w:val="28"/>
        </w:rPr>
        <w:t xml:space="preserve"> </w:t>
      </w:r>
      <w:r w:rsidRPr="00FC02F5">
        <w:rPr>
          <w:rStyle w:val="markedcontent"/>
          <w:rFonts w:ascii="Garamond" w:hAnsi="Garamond"/>
          <w:sz w:val="28"/>
          <w:szCs w:val="28"/>
        </w:rPr>
        <w:t>è stata attivata la procedura prevista dal Codice Etico e di Comportamento di</w:t>
      </w:r>
      <w:r>
        <w:rPr>
          <w:rStyle w:val="markedcontent"/>
          <w:rFonts w:ascii="Garamond" w:hAnsi="Garamond"/>
          <w:sz w:val="28"/>
          <w:szCs w:val="28"/>
        </w:rPr>
        <w:t xml:space="preserve"> </w:t>
      </w:r>
      <w:r w:rsidRPr="00FC02F5">
        <w:rPr>
          <w:rStyle w:val="markedcontent"/>
          <w:rFonts w:ascii="Garamond" w:hAnsi="Garamond"/>
          <w:sz w:val="28"/>
          <w:szCs w:val="28"/>
        </w:rPr>
        <w:t>Ateneo.</w:t>
      </w:r>
    </w:p>
    <w:p w14:paraId="5F6CA13B" w14:textId="77777777" w:rsidR="00FC02F5" w:rsidRDefault="00FC02F5" w:rsidP="00FC02F5">
      <w:pPr>
        <w:spacing w:after="0" w:line="276" w:lineRule="auto"/>
        <w:jc w:val="both"/>
        <w:rPr>
          <w:rStyle w:val="markedcontent"/>
          <w:rFonts w:ascii="Garamond" w:hAnsi="Garamond"/>
          <w:sz w:val="28"/>
          <w:szCs w:val="28"/>
        </w:rPr>
      </w:pPr>
      <w:r w:rsidRPr="00FC02F5">
        <w:rPr>
          <w:rStyle w:val="markedcontent"/>
          <w:rFonts w:ascii="Garamond" w:hAnsi="Garamond"/>
          <w:sz w:val="28"/>
          <w:szCs w:val="28"/>
        </w:rPr>
        <w:t>Il Referente TAC dell’Unità di Staff della Dire</w:t>
      </w:r>
      <w:r w:rsidR="002C29E8">
        <w:rPr>
          <w:rStyle w:val="markedcontent"/>
          <w:rFonts w:ascii="Garamond" w:hAnsi="Garamond"/>
          <w:sz w:val="28"/>
          <w:szCs w:val="28"/>
        </w:rPr>
        <w:t>zione Generale ha attestato che:</w:t>
      </w:r>
    </w:p>
    <w:p w14:paraId="65724101" w14:textId="57CC7CD1" w:rsidR="00FC02F5" w:rsidRDefault="00FC02F5" w:rsidP="008C7CFB">
      <w:pPr>
        <w:pStyle w:val="Paragrafoelenco"/>
        <w:numPr>
          <w:ilvl w:val="0"/>
          <w:numId w:val="6"/>
        </w:numPr>
        <w:spacing w:after="0" w:line="276" w:lineRule="auto"/>
        <w:ind w:left="851"/>
        <w:jc w:val="both"/>
        <w:rPr>
          <w:rStyle w:val="markedcontent"/>
          <w:rFonts w:ascii="Garamond" w:hAnsi="Garamond"/>
          <w:sz w:val="28"/>
          <w:szCs w:val="28"/>
        </w:rPr>
      </w:pPr>
      <w:r w:rsidRPr="00FC02F5">
        <w:rPr>
          <w:rStyle w:val="markedcontent"/>
          <w:rFonts w:ascii="Garamond" w:hAnsi="Garamond"/>
          <w:sz w:val="28"/>
          <w:szCs w:val="28"/>
        </w:rPr>
        <w:t>non si sono verificati casi di conflitto di interesse, anche potenziali, in uffici</w:t>
      </w:r>
      <w:r>
        <w:rPr>
          <w:rStyle w:val="markedcontent"/>
          <w:rFonts w:ascii="Garamond" w:hAnsi="Garamond"/>
          <w:sz w:val="28"/>
          <w:szCs w:val="28"/>
        </w:rPr>
        <w:t xml:space="preserve"> </w:t>
      </w:r>
      <w:r w:rsidRPr="00FC02F5">
        <w:rPr>
          <w:rStyle w:val="markedcontent"/>
          <w:rFonts w:ascii="Garamond" w:hAnsi="Garamond"/>
          <w:sz w:val="28"/>
          <w:szCs w:val="28"/>
        </w:rPr>
        <w:t>competenti a adottare pareri, valutazioni tecniche, atti endoprocedimentali e</w:t>
      </w:r>
      <w:r>
        <w:rPr>
          <w:rStyle w:val="markedcontent"/>
          <w:rFonts w:ascii="Garamond" w:hAnsi="Garamond"/>
          <w:sz w:val="28"/>
          <w:szCs w:val="28"/>
        </w:rPr>
        <w:t xml:space="preserve"> </w:t>
      </w:r>
      <w:r w:rsidR="008C7CFB">
        <w:rPr>
          <w:rStyle w:val="markedcontent"/>
          <w:rFonts w:ascii="Garamond" w:hAnsi="Garamond"/>
          <w:sz w:val="28"/>
          <w:szCs w:val="28"/>
        </w:rPr>
        <w:t>provvedimenti finali</w:t>
      </w:r>
    </w:p>
    <w:p w14:paraId="6B34A4C5" w14:textId="1D9DFCCB" w:rsidR="00746D96" w:rsidRDefault="00FC02F5" w:rsidP="008C7CFB">
      <w:pPr>
        <w:pStyle w:val="Paragrafoelenco"/>
        <w:numPr>
          <w:ilvl w:val="0"/>
          <w:numId w:val="6"/>
        </w:numPr>
        <w:spacing w:after="0" w:line="276" w:lineRule="auto"/>
        <w:ind w:left="851"/>
        <w:jc w:val="both"/>
        <w:rPr>
          <w:rStyle w:val="markedcontent"/>
          <w:rFonts w:ascii="Garamond" w:hAnsi="Garamond"/>
          <w:sz w:val="28"/>
          <w:szCs w:val="28"/>
        </w:rPr>
      </w:pPr>
      <w:r w:rsidRPr="00FC02F5">
        <w:rPr>
          <w:rStyle w:val="markedcontent"/>
          <w:rFonts w:ascii="Garamond" w:hAnsi="Garamond"/>
          <w:sz w:val="28"/>
          <w:szCs w:val="28"/>
        </w:rPr>
        <w:t>prima del conferimento dell’incarico ai consulenti e collaboratori si è proceduto</w:t>
      </w:r>
      <w:r>
        <w:rPr>
          <w:rStyle w:val="markedcontent"/>
          <w:rFonts w:ascii="Garamond" w:hAnsi="Garamond"/>
          <w:sz w:val="28"/>
          <w:szCs w:val="28"/>
        </w:rPr>
        <w:t xml:space="preserve"> </w:t>
      </w:r>
      <w:r w:rsidRPr="00FC02F5">
        <w:rPr>
          <w:rStyle w:val="markedcontent"/>
          <w:rFonts w:ascii="Garamond" w:hAnsi="Garamond"/>
          <w:sz w:val="28"/>
          <w:szCs w:val="28"/>
        </w:rPr>
        <w:t>ad acquisire la dichiarazione sulla insussistenza di situazioni di conflitto di</w:t>
      </w:r>
      <w:r>
        <w:rPr>
          <w:rStyle w:val="markedcontent"/>
          <w:rFonts w:ascii="Garamond" w:hAnsi="Garamond"/>
          <w:sz w:val="28"/>
          <w:szCs w:val="28"/>
        </w:rPr>
        <w:t xml:space="preserve"> </w:t>
      </w:r>
      <w:r w:rsidRPr="00FC02F5">
        <w:rPr>
          <w:rStyle w:val="markedcontent"/>
          <w:rFonts w:ascii="Garamond" w:hAnsi="Garamond"/>
          <w:sz w:val="28"/>
          <w:szCs w:val="28"/>
        </w:rPr>
        <w:t>interessi, anche potenziali, e alla successiva pubblicazione nell’apposita</w:t>
      </w:r>
      <w:r w:rsidR="00746D96">
        <w:rPr>
          <w:rStyle w:val="markedcontent"/>
          <w:rFonts w:ascii="Garamond" w:hAnsi="Garamond"/>
          <w:sz w:val="28"/>
          <w:szCs w:val="28"/>
        </w:rPr>
        <w:t xml:space="preserve"> </w:t>
      </w:r>
      <w:r w:rsidR="008C7CFB">
        <w:rPr>
          <w:rStyle w:val="markedcontent"/>
          <w:rFonts w:ascii="Garamond" w:hAnsi="Garamond"/>
          <w:sz w:val="28"/>
          <w:szCs w:val="28"/>
        </w:rPr>
        <w:t>piattaforma</w:t>
      </w:r>
    </w:p>
    <w:p w14:paraId="5DA1F880" w14:textId="7950A627" w:rsidR="00746D96" w:rsidRDefault="00FC02F5" w:rsidP="008C7CFB">
      <w:pPr>
        <w:pStyle w:val="Paragrafoelenco"/>
        <w:numPr>
          <w:ilvl w:val="0"/>
          <w:numId w:val="6"/>
        </w:numPr>
        <w:spacing w:after="0" w:line="276" w:lineRule="auto"/>
        <w:ind w:left="851"/>
        <w:jc w:val="both"/>
        <w:rPr>
          <w:rStyle w:val="markedcontent"/>
          <w:rFonts w:ascii="Garamond" w:hAnsi="Garamond"/>
          <w:sz w:val="28"/>
          <w:szCs w:val="28"/>
        </w:rPr>
      </w:pPr>
      <w:r w:rsidRPr="00FC02F5">
        <w:rPr>
          <w:rStyle w:val="markedcontent"/>
          <w:rFonts w:ascii="Garamond" w:hAnsi="Garamond"/>
          <w:sz w:val="28"/>
          <w:szCs w:val="28"/>
        </w:rPr>
        <w:t>per i consulenti e collaboratori si procede con una verifica integrale delle</w:t>
      </w:r>
      <w:r w:rsidR="00746D96">
        <w:rPr>
          <w:rStyle w:val="markedcontent"/>
          <w:rFonts w:ascii="Garamond" w:hAnsi="Garamond"/>
          <w:sz w:val="28"/>
          <w:szCs w:val="28"/>
        </w:rPr>
        <w:t xml:space="preserve"> </w:t>
      </w:r>
      <w:r w:rsidRPr="00FC02F5">
        <w:rPr>
          <w:rStyle w:val="markedcontent"/>
          <w:rFonts w:ascii="Garamond" w:hAnsi="Garamond"/>
          <w:sz w:val="28"/>
          <w:szCs w:val="28"/>
        </w:rPr>
        <w:t>dichiarazioni di insussistenza di situazioni di conflitto</w:t>
      </w:r>
      <w:r w:rsidR="008C7CFB">
        <w:rPr>
          <w:rStyle w:val="markedcontent"/>
          <w:rFonts w:ascii="Garamond" w:hAnsi="Garamond"/>
          <w:sz w:val="28"/>
          <w:szCs w:val="28"/>
        </w:rPr>
        <w:t xml:space="preserve"> di interessi, anche</w:t>
      </w:r>
      <w:r w:rsidR="008C7CFB">
        <w:rPr>
          <w:rStyle w:val="markedcontent"/>
          <w:rFonts w:ascii="Garamond" w:hAnsi="Garamond"/>
          <w:sz w:val="28"/>
          <w:szCs w:val="28"/>
        </w:rPr>
        <w:br/>
        <w:t>potenziali</w:t>
      </w:r>
    </w:p>
    <w:p w14:paraId="29C725BC" w14:textId="2603154A" w:rsidR="006607ED" w:rsidRPr="00FC02F5" w:rsidRDefault="00FC02F5" w:rsidP="008C7CFB">
      <w:pPr>
        <w:pStyle w:val="Paragrafoelenco"/>
        <w:numPr>
          <w:ilvl w:val="0"/>
          <w:numId w:val="6"/>
        </w:numPr>
        <w:spacing w:after="0" w:line="276" w:lineRule="auto"/>
        <w:ind w:left="851"/>
        <w:jc w:val="both"/>
        <w:rPr>
          <w:rStyle w:val="markedcontent"/>
          <w:rFonts w:ascii="Garamond" w:hAnsi="Garamond"/>
          <w:sz w:val="28"/>
          <w:szCs w:val="28"/>
        </w:rPr>
      </w:pPr>
      <w:r w:rsidRPr="00FC02F5">
        <w:rPr>
          <w:rStyle w:val="markedcontent"/>
          <w:rFonts w:ascii="Garamond" w:hAnsi="Garamond"/>
          <w:sz w:val="28"/>
          <w:szCs w:val="28"/>
        </w:rPr>
        <w:t>non sono state riscontrate violazioni dell’obbligo di astensione</w:t>
      </w:r>
      <w:r w:rsidR="008C7CFB">
        <w:rPr>
          <w:rStyle w:val="markedcontent"/>
          <w:rFonts w:ascii="Garamond" w:hAnsi="Garamond"/>
          <w:sz w:val="28"/>
          <w:szCs w:val="28"/>
        </w:rPr>
        <w:t>.</w:t>
      </w:r>
    </w:p>
    <w:p w14:paraId="57FF71F7" w14:textId="77777777" w:rsidR="00FC02F5" w:rsidRDefault="00FC02F5" w:rsidP="00FC02F5">
      <w:pPr>
        <w:spacing w:after="0" w:line="276" w:lineRule="auto"/>
        <w:jc w:val="both"/>
        <w:rPr>
          <w:rStyle w:val="markedcontent"/>
          <w:rFonts w:ascii="Garamond" w:hAnsi="Garamond"/>
        </w:rPr>
      </w:pPr>
    </w:p>
    <w:p w14:paraId="7DC3F44F" w14:textId="77777777" w:rsidR="00AB3891" w:rsidRPr="006607ED" w:rsidRDefault="00AB3891" w:rsidP="006607ED">
      <w:pPr>
        <w:spacing w:after="0" w:line="276" w:lineRule="auto"/>
        <w:jc w:val="both"/>
        <w:rPr>
          <w:rStyle w:val="markedcontent"/>
          <w:rFonts w:ascii="Garamond" w:hAnsi="Garamond"/>
          <w:b/>
          <w:sz w:val="28"/>
          <w:szCs w:val="28"/>
          <w:u w:val="single"/>
        </w:rPr>
      </w:pPr>
      <w:r w:rsidRPr="006607ED">
        <w:rPr>
          <w:rStyle w:val="markedcontent"/>
          <w:rFonts w:ascii="Garamond" w:hAnsi="Garamond"/>
          <w:b/>
          <w:sz w:val="28"/>
          <w:szCs w:val="28"/>
          <w:u w:val="single"/>
        </w:rPr>
        <w:t>Autorizzazioni allo svolgimento di incarichi istituzionali e di attività ed incarichi extra-istituzionali.</w:t>
      </w:r>
    </w:p>
    <w:p w14:paraId="618063E6" w14:textId="5D067B14" w:rsidR="00FF738E" w:rsidRDefault="008C7CFB" w:rsidP="008C7CFB">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w:t>
      </w:r>
      <w:r w:rsidRPr="00FF738E">
        <w:rPr>
          <w:rStyle w:val="markedcontent"/>
          <w:rFonts w:ascii="Garamond" w:hAnsi="Garamond"/>
          <w:sz w:val="28"/>
          <w:szCs w:val="28"/>
        </w:rPr>
        <w:t xml:space="preserve"> </w:t>
      </w:r>
      <w:r>
        <w:rPr>
          <w:rStyle w:val="markedcontent"/>
          <w:rFonts w:ascii="Garamond" w:hAnsi="Garamond"/>
          <w:sz w:val="28"/>
          <w:szCs w:val="28"/>
        </w:rPr>
        <w:t>i</w:t>
      </w:r>
      <w:r w:rsidR="00FF738E" w:rsidRPr="00FF738E">
        <w:rPr>
          <w:rStyle w:val="markedcontent"/>
          <w:rFonts w:ascii="Garamond" w:hAnsi="Garamond"/>
          <w:sz w:val="28"/>
          <w:szCs w:val="28"/>
        </w:rPr>
        <w:t>l Referente TAC del Settore</w:t>
      </w:r>
      <w:r w:rsidR="002C29E8">
        <w:rPr>
          <w:rStyle w:val="markedcontent"/>
          <w:rFonts w:ascii="Garamond" w:hAnsi="Garamond"/>
          <w:sz w:val="28"/>
          <w:szCs w:val="28"/>
        </w:rPr>
        <w:t xml:space="preserve"> Risorse Umane ha attestato che:</w:t>
      </w:r>
    </w:p>
    <w:p w14:paraId="1585494C" w14:textId="77777777" w:rsidR="00FF738E" w:rsidRPr="00FF738E" w:rsidRDefault="00FF738E" w:rsidP="008C7CFB">
      <w:pPr>
        <w:pStyle w:val="Paragrafoelenco"/>
        <w:numPr>
          <w:ilvl w:val="0"/>
          <w:numId w:val="6"/>
        </w:numPr>
        <w:spacing w:after="0" w:line="276" w:lineRule="auto"/>
        <w:jc w:val="both"/>
        <w:rPr>
          <w:rStyle w:val="markedcontent"/>
          <w:rFonts w:ascii="Garamond" w:hAnsi="Garamond"/>
          <w:sz w:val="28"/>
          <w:szCs w:val="28"/>
        </w:rPr>
      </w:pPr>
      <w:r w:rsidRPr="00FF738E">
        <w:rPr>
          <w:rStyle w:val="markedcontent"/>
          <w:rFonts w:ascii="Garamond" w:hAnsi="Garamond"/>
          <w:sz w:val="28"/>
          <w:szCs w:val="28"/>
        </w:rPr>
        <w:t>sono state presentate complessivamente 52 richieste per lo svolgimento di incarichi extra istituzionali di cui n. 33 del personale docente e n. 19 del personale tecnico amministrativo e bibliotecario. Tutte le richieste presentate sono state autorizzate</w:t>
      </w:r>
    </w:p>
    <w:p w14:paraId="35599AD0" w14:textId="631CE6B7" w:rsidR="00FF738E" w:rsidRDefault="00FF738E" w:rsidP="00824797">
      <w:pPr>
        <w:pStyle w:val="Paragrafoelenco"/>
        <w:numPr>
          <w:ilvl w:val="0"/>
          <w:numId w:val="6"/>
        </w:numPr>
        <w:spacing w:after="0" w:line="276" w:lineRule="auto"/>
        <w:jc w:val="both"/>
        <w:rPr>
          <w:rStyle w:val="markedcontent"/>
          <w:rFonts w:ascii="Garamond" w:hAnsi="Garamond"/>
          <w:sz w:val="28"/>
          <w:szCs w:val="28"/>
        </w:rPr>
      </w:pPr>
      <w:r w:rsidRPr="00FF738E">
        <w:rPr>
          <w:rStyle w:val="markedcontent"/>
          <w:rFonts w:ascii="Garamond" w:hAnsi="Garamond"/>
          <w:sz w:val="28"/>
          <w:szCs w:val="28"/>
        </w:rPr>
        <w:t>si è verificato che tutti gli incarichi conferiti a dipendenti di altre PP.AA. sono</w:t>
      </w:r>
      <w:r>
        <w:rPr>
          <w:rStyle w:val="markedcontent"/>
          <w:rFonts w:ascii="Garamond" w:hAnsi="Garamond"/>
          <w:sz w:val="28"/>
          <w:szCs w:val="28"/>
        </w:rPr>
        <w:t xml:space="preserve"> </w:t>
      </w:r>
      <w:r w:rsidRPr="00FF738E">
        <w:rPr>
          <w:rStyle w:val="markedcontent"/>
          <w:rFonts w:ascii="Garamond" w:hAnsi="Garamond"/>
          <w:sz w:val="28"/>
          <w:szCs w:val="28"/>
        </w:rPr>
        <w:t xml:space="preserve">stati previamente autorizzati dall’Amministrazione </w:t>
      </w:r>
      <w:r w:rsidR="008C7CFB">
        <w:rPr>
          <w:rStyle w:val="markedcontent"/>
          <w:rFonts w:ascii="Garamond" w:hAnsi="Garamond"/>
          <w:sz w:val="28"/>
          <w:szCs w:val="28"/>
        </w:rPr>
        <w:t>di appartenenza</w:t>
      </w:r>
    </w:p>
    <w:p w14:paraId="4994EBDD" w14:textId="51AF6B4E" w:rsidR="00FF738E" w:rsidRDefault="00FF738E" w:rsidP="00824797">
      <w:pPr>
        <w:pStyle w:val="Paragrafoelenco"/>
        <w:numPr>
          <w:ilvl w:val="0"/>
          <w:numId w:val="6"/>
        </w:numPr>
        <w:spacing w:after="0" w:line="276" w:lineRule="auto"/>
        <w:jc w:val="both"/>
        <w:rPr>
          <w:rStyle w:val="markedcontent"/>
          <w:rFonts w:ascii="Garamond" w:hAnsi="Garamond"/>
          <w:sz w:val="28"/>
          <w:szCs w:val="28"/>
        </w:rPr>
      </w:pPr>
      <w:r w:rsidRPr="00FF738E">
        <w:rPr>
          <w:rStyle w:val="markedcontent"/>
          <w:rFonts w:ascii="Garamond" w:hAnsi="Garamond"/>
          <w:sz w:val="28"/>
          <w:szCs w:val="28"/>
        </w:rPr>
        <w:t>non sono pervenute segnalazioni in merito allo svolgimento di incarichi extra</w:t>
      </w:r>
      <w:r>
        <w:rPr>
          <w:rStyle w:val="markedcontent"/>
          <w:rFonts w:ascii="Garamond" w:hAnsi="Garamond"/>
          <w:sz w:val="28"/>
          <w:szCs w:val="28"/>
        </w:rPr>
        <w:t xml:space="preserve"> </w:t>
      </w:r>
      <w:r w:rsidRPr="00FF738E">
        <w:rPr>
          <w:rStyle w:val="markedcontent"/>
          <w:rFonts w:ascii="Garamond" w:hAnsi="Garamond"/>
          <w:sz w:val="28"/>
          <w:szCs w:val="28"/>
        </w:rPr>
        <w:t>istituzionale non autorizzati da parte del personale docente e/o tecnico</w:t>
      </w:r>
      <w:r>
        <w:rPr>
          <w:rStyle w:val="markedcontent"/>
          <w:rFonts w:ascii="Garamond" w:hAnsi="Garamond"/>
          <w:sz w:val="28"/>
          <w:szCs w:val="28"/>
        </w:rPr>
        <w:t xml:space="preserve"> </w:t>
      </w:r>
      <w:r w:rsidRPr="00FF738E">
        <w:rPr>
          <w:rStyle w:val="markedcontent"/>
          <w:rFonts w:ascii="Garamond" w:hAnsi="Garamond"/>
          <w:sz w:val="28"/>
          <w:szCs w:val="28"/>
        </w:rPr>
        <w:t>amministrat</w:t>
      </w:r>
      <w:r w:rsidR="008C7CFB">
        <w:rPr>
          <w:rStyle w:val="markedcontent"/>
          <w:rFonts w:ascii="Garamond" w:hAnsi="Garamond"/>
          <w:sz w:val="28"/>
          <w:szCs w:val="28"/>
        </w:rPr>
        <w:t>ivo e bibliotecario dell’Ateneo</w:t>
      </w:r>
    </w:p>
    <w:p w14:paraId="71295001" w14:textId="48010F16" w:rsidR="00FF738E" w:rsidRDefault="00FF738E" w:rsidP="00824797">
      <w:pPr>
        <w:pStyle w:val="Paragrafoelenco"/>
        <w:numPr>
          <w:ilvl w:val="0"/>
          <w:numId w:val="6"/>
        </w:numPr>
        <w:spacing w:after="0" w:line="276" w:lineRule="auto"/>
        <w:jc w:val="both"/>
        <w:rPr>
          <w:rStyle w:val="markedcontent"/>
          <w:rFonts w:ascii="Garamond" w:hAnsi="Garamond"/>
          <w:sz w:val="28"/>
          <w:szCs w:val="28"/>
        </w:rPr>
      </w:pPr>
      <w:r w:rsidRPr="00FF738E">
        <w:rPr>
          <w:rStyle w:val="markedcontent"/>
          <w:rFonts w:ascii="Garamond" w:hAnsi="Garamond"/>
          <w:sz w:val="28"/>
          <w:szCs w:val="28"/>
        </w:rPr>
        <w:t>è stata nominata la Commissione Rettorale con poteri consultivi con il compito</w:t>
      </w:r>
      <w:r>
        <w:rPr>
          <w:rStyle w:val="markedcontent"/>
          <w:rFonts w:ascii="Garamond" w:hAnsi="Garamond"/>
          <w:sz w:val="28"/>
          <w:szCs w:val="28"/>
        </w:rPr>
        <w:t xml:space="preserve"> </w:t>
      </w:r>
      <w:r w:rsidRPr="00FF738E">
        <w:rPr>
          <w:rStyle w:val="markedcontent"/>
          <w:rFonts w:ascii="Garamond" w:hAnsi="Garamond"/>
          <w:sz w:val="28"/>
          <w:szCs w:val="28"/>
        </w:rPr>
        <w:t>di fornire pareri ed eventualmente coadiuvare gli uffici dell’Ateneo preposti</w:t>
      </w:r>
      <w:r>
        <w:rPr>
          <w:rStyle w:val="markedcontent"/>
          <w:rFonts w:ascii="Garamond" w:hAnsi="Garamond"/>
          <w:sz w:val="28"/>
          <w:szCs w:val="28"/>
        </w:rPr>
        <w:t xml:space="preserve"> </w:t>
      </w:r>
      <w:r w:rsidRPr="00FF738E">
        <w:rPr>
          <w:rStyle w:val="markedcontent"/>
          <w:rFonts w:ascii="Garamond" w:hAnsi="Garamond"/>
          <w:sz w:val="28"/>
          <w:szCs w:val="28"/>
        </w:rPr>
        <w:t>all’istruzione dei procedimenti in materia nei casi di particolare conferimento e</w:t>
      </w:r>
      <w:r>
        <w:rPr>
          <w:rStyle w:val="markedcontent"/>
          <w:rFonts w:ascii="Garamond" w:hAnsi="Garamond"/>
          <w:sz w:val="28"/>
          <w:szCs w:val="28"/>
        </w:rPr>
        <w:t xml:space="preserve"> </w:t>
      </w:r>
      <w:r w:rsidRPr="00FF738E">
        <w:rPr>
          <w:rStyle w:val="markedcontent"/>
          <w:rFonts w:ascii="Garamond" w:hAnsi="Garamond"/>
          <w:sz w:val="28"/>
          <w:szCs w:val="28"/>
        </w:rPr>
        <w:t>che la s</w:t>
      </w:r>
      <w:r w:rsidR="008C7CFB">
        <w:rPr>
          <w:rStyle w:val="markedcontent"/>
          <w:rFonts w:ascii="Garamond" w:hAnsi="Garamond"/>
          <w:sz w:val="28"/>
          <w:szCs w:val="28"/>
        </w:rPr>
        <w:t>tessa non è stata mai coinvolta</w:t>
      </w:r>
    </w:p>
    <w:p w14:paraId="58EF2495" w14:textId="77777777" w:rsidR="00FF738E" w:rsidRDefault="00FF738E" w:rsidP="00824797">
      <w:pPr>
        <w:pStyle w:val="Paragrafoelenco"/>
        <w:numPr>
          <w:ilvl w:val="0"/>
          <w:numId w:val="6"/>
        </w:numPr>
        <w:spacing w:after="0" w:line="276" w:lineRule="auto"/>
        <w:jc w:val="both"/>
        <w:rPr>
          <w:rStyle w:val="markedcontent"/>
          <w:rFonts w:ascii="Garamond" w:hAnsi="Garamond"/>
          <w:sz w:val="28"/>
          <w:szCs w:val="28"/>
        </w:rPr>
      </w:pPr>
      <w:r w:rsidRPr="00FF738E">
        <w:rPr>
          <w:rStyle w:val="markedcontent"/>
          <w:rFonts w:ascii="Garamond" w:hAnsi="Garamond"/>
          <w:sz w:val="28"/>
          <w:szCs w:val="28"/>
        </w:rPr>
        <w:lastRenderedPageBreak/>
        <w:t>l’Ateneo ha adottato il Regolamento del Servizio Ispettivo.</w:t>
      </w:r>
      <w:r>
        <w:rPr>
          <w:rStyle w:val="markedcontent"/>
          <w:rFonts w:ascii="Garamond" w:hAnsi="Garamond"/>
          <w:sz w:val="28"/>
          <w:szCs w:val="28"/>
        </w:rPr>
        <w:t xml:space="preserve"> </w:t>
      </w:r>
    </w:p>
    <w:p w14:paraId="695B4975" w14:textId="77777777" w:rsidR="00FF738E" w:rsidRDefault="00FF738E" w:rsidP="0027600A">
      <w:pPr>
        <w:spacing w:after="0" w:line="276" w:lineRule="auto"/>
        <w:jc w:val="both"/>
        <w:rPr>
          <w:rStyle w:val="markedcontent"/>
          <w:rFonts w:ascii="Garamond" w:hAnsi="Garamond"/>
          <w:sz w:val="28"/>
          <w:szCs w:val="28"/>
        </w:rPr>
      </w:pPr>
      <w:r w:rsidRPr="00FF738E">
        <w:rPr>
          <w:rStyle w:val="markedcontent"/>
          <w:rFonts w:ascii="Garamond" w:hAnsi="Garamond"/>
          <w:sz w:val="28"/>
          <w:szCs w:val="28"/>
        </w:rPr>
        <w:t>Il competente Settore Risorse Umane, inoltre, in ottemperanza alla richiesta formulata</w:t>
      </w:r>
      <w:r>
        <w:rPr>
          <w:rStyle w:val="markedcontent"/>
          <w:rFonts w:ascii="Garamond" w:hAnsi="Garamond"/>
          <w:sz w:val="28"/>
          <w:szCs w:val="28"/>
        </w:rPr>
        <w:t xml:space="preserve"> </w:t>
      </w:r>
      <w:r w:rsidRPr="00FF738E">
        <w:rPr>
          <w:rStyle w:val="markedcontent"/>
          <w:rFonts w:ascii="Garamond" w:hAnsi="Garamond"/>
          <w:sz w:val="28"/>
          <w:szCs w:val="28"/>
        </w:rPr>
        <w:t>dal RPCT (nota protocollo n.14421 del 19 giugno 2020) predispone semestralmente una</w:t>
      </w:r>
      <w:r>
        <w:rPr>
          <w:rStyle w:val="markedcontent"/>
          <w:rFonts w:ascii="Garamond" w:hAnsi="Garamond"/>
          <w:sz w:val="28"/>
          <w:szCs w:val="28"/>
        </w:rPr>
        <w:t xml:space="preserve"> </w:t>
      </w:r>
      <w:r w:rsidRPr="00FF738E">
        <w:rPr>
          <w:rStyle w:val="markedcontent"/>
          <w:rFonts w:ascii="Garamond" w:hAnsi="Garamond"/>
          <w:sz w:val="28"/>
          <w:szCs w:val="28"/>
        </w:rPr>
        <w:t>relazione sugli incarichi comunicati e autorizzati ai dipendenti dell’Ateneo.</w:t>
      </w:r>
      <w:r>
        <w:rPr>
          <w:rStyle w:val="markedcontent"/>
          <w:rFonts w:ascii="Garamond" w:hAnsi="Garamond"/>
          <w:sz w:val="28"/>
          <w:szCs w:val="28"/>
        </w:rPr>
        <w:t xml:space="preserve"> </w:t>
      </w:r>
    </w:p>
    <w:p w14:paraId="6E1E0BD5" w14:textId="77777777" w:rsidR="00FF738E" w:rsidRDefault="00FF738E" w:rsidP="0027600A">
      <w:pPr>
        <w:spacing w:after="0" w:line="276" w:lineRule="auto"/>
        <w:jc w:val="both"/>
        <w:rPr>
          <w:rStyle w:val="markedcontent"/>
          <w:rFonts w:ascii="Garamond" w:hAnsi="Garamond"/>
          <w:b/>
          <w:sz w:val="28"/>
          <w:szCs w:val="28"/>
          <w:u w:val="single"/>
        </w:rPr>
      </w:pPr>
    </w:p>
    <w:p w14:paraId="11B8CDA9" w14:textId="77777777" w:rsidR="00AB3891" w:rsidRPr="00E9492C" w:rsidRDefault="00AB3891" w:rsidP="00112E5B">
      <w:pPr>
        <w:spacing w:after="0" w:line="276" w:lineRule="auto"/>
        <w:jc w:val="both"/>
        <w:rPr>
          <w:rStyle w:val="markedcontent"/>
          <w:rFonts w:ascii="Garamond" w:hAnsi="Garamond"/>
          <w:b/>
          <w:sz w:val="28"/>
          <w:szCs w:val="28"/>
          <w:u w:val="single"/>
        </w:rPr>
      </w:pPr>
      <w:r w:rsidRPr="00E9492C">
        <w:rPr>
          <w:rStyle w:val="markedcontent"/>
          <w:rFonts w:ascii="Garamond" w:hAnsi="Garamond"/>
          <w:b/>
          <w:sz w:val="28"/>
          <w:szCs w:val="28"/>
          <w:u w:val="single"/>
        </w:rPr>
        <w:t xml:space="preserve">Divieto di pantouflage o revolving doors </w:t>
      </w:r>
      <w:r w:rsidR="00E9492C" w:rsidRPr="00E9492C">
        <w:rPr>
          <w:rStyle w:val="markedcontent"/>
          <w:rFonts w:ascii="Garamond" w:hAnsi="Garamond"/>
          <w:b/>
          <w:sz w:val="28"/>
          <w:szCs w:val="28"/>
          <w:u w:val="single"/>
        </w:rPr>
        <w:t>(</w:t>
      </w:r>
      <w:r w:rsidRPr="00E9492C">
        <w:rPr>
          <w:rStyle w:val="markedcontent"/>
          <w:rFonts w:ascii="Garamond" w:hAnsi="Garamond"/>
          <w:b/>
          <w:sz w:val="28"/>
          <w:szCs w:val="28"/>
          <w:u w:val="single"/>
        </w:rPr>
        <w:t>Attività successiva alla cessazione del rapporto di lavoro</w:t>
      </w:r>
      <w:r w:rsidR="00E9492C" w:rsidRPr="00E9492C">
        <w:rPr>
          <w:rStyle w:val="markedcontent"/>
          <w:rFonts w:ascii="Garamond" w:hAnsi="Garamond"/>
          <w:b/>
          <w:sz w:val="28"/>
          <w:szCs w:val="28"/>
          <w:u w:val="single"/>
        </w:rPr>
        <w:t>)</w:t>
      </w:r>
    </w:p>
    <w:p w14:paraId="79B699CB" w14:textId="7261DBD7" w:rsidR="006301D5" w:rsidRDefault="008C7CFB" w:rsidP="006301D5">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w:t>
      </w:r>
      <w:r w:rsidRPr="006301D5">
        <w:rPr>
          <w:rStyle w:val="markedcontent"/>
          <w:rFonts w:ascii="Garamond" w:hAnsi="Garamond"/>
          <w:sz w:val="28"/>
          <w:szCs w:val="28"/>
        </w:rPr>
        <w:t xml:space="preserve"> </w:t>
      </w:r>
      <w:r>
        <w:rPr>
          <w:rStyle w:val="markedcontent"/>
          <w:rFonts w:ascii="Garamond" w:hAnsi="Garamond"/>
          <w:sz w:val="28"/>
          <w:szCs w:val="28"/>
        </w:rPr>
        <w:t>i</w:t>
      </w:r>
      <w:r w:rsidR="006301D5" w:rsidRPr="006301D5">
        <w:rPr>
          <w:rStyle w:val="markedcontent"/>
          <w:rFonts w:ascii="Garamond" w:hAnsi="Garamond"/>
          <w:sz w:val="28"/>
          <w:szCs w:val="28"/>
        </w:rPr>
        <w:t>l Referente TAC del Settore Risorse Umane ha attesta</w:t>
      </w:r>
      <w:r w:rsidR="006301D5">
        <w:rPr>
          <w:rStyle w:val="markedcontent"/>
          <w:rFonts w:ascii="Garamond" w:hAnsi="Garamond"/>
          <w:sz w:val="28"/>
          <w:szCs w:val="28"/>
        </w:rPr>
        <w:t>to che</w:t>
      </w:r>
      <w:r w:rsidR="0027600A">
        <w:rPr>
          <w:rStyle w:val="markedcontent"/>
          <w:rFonts w:ascii="Garamond" w:hAnsi="Garamond"/>
          <w:sz w:val="28"/>
          <w:szCs w:val="28"/>
        </w:rPr>
        <w:t>:</w:t>
      </w:r>
    </w:p>
    <w:p w14:paraId="6D36F2EF" w14:textId="0E752357" w:rsidR="006301D5" w:rsidRDefault="006301D5" w:rsidP="006301D5">
      <w:pPr>
        <w:pStyle w:val="Paragrafoelenco"/>
        <w:numPr>
          <w:ilvl w:val="0"/>
          <w:numId w:val="6"/>
        </w:numPr>
        <w:spacing w:after="0" w:line="276" w:lineRule="auto"/>
        <w:jc w:val="both"/>
        <w:rPr>
          <w:rStyle w:val="markedcontent"/>
          <w:rFonts w:ascii="Garamond" w:hAnsi="Garamond"/>
          <w:sz w:val="28"/>
          <w:szCs w:val="28"/>
        </w:rPr>
      </w:pPr>
      <w:r w:rsidRPr="006301D5">
        <w:rPr>
          <w:rStyle w:val="markedcontent"/>
          <w:rFonts w:ascii="Garamond" w:hAnsi="Garamond"/>
          <w:sz w:val="28"/>
          <w:szCs w:val="28"/>
        </w:rPr>
        <w:t>nei contratti di assunzione e negli atti di cessazione dal servizio è inser</w:t>
      </w:r>
      <w:r w:rsidR="008C7CFB">
        <w:rPr>
          <w:rStyle w:val="markedcontent"/>
          <w:rFonts w:ascii="Garamond" w:hAnsi="Garamond"/>
          <w:sz w:val="28"/>
          <w:szCs w:val="28"/>
        </w:rPr>
        <w:t>ita la clausola di pantouflage</w:t>
      </w:r>
    </w:p>
    <w:p w14:paraId="7012B421" w14:textId="77777777" w:rsidR="006301D5" w:rsidRPr="006301D5" w:rsidRDefault="006301D5" w:rsidP="006301D5">
      <w:pPr>
        <w:pStyle w:val="Paragrafoelenco"/>
        <w:numPr>
          <w:ilvl w:val="0"/>
          <w:numId w:val="6"/>
        </w:numPr>
        <w:spacing w:after="0" w:line="276" w:lineRule="auto"/>
        <w:jc w:val="both"/>
        <w:rPr>
          <w:rStyle w:val="markedcontent"/>
          <w:rFonts w:ascii="Garamond" w:hAnsi="Garamond"/>
          <w:sz w:val="28"/>
          <w:szCs w:val="28"/>
        </w:rPr>
      </w:pPr>
      <w:r w:rsidRPr="006301D5">
        <w:rPr>
          <w:rStyle w:val="markedcontent"/>
          <w:rFonts w:ascii="Garamond" w:hAnsi="Garamond"/>
          <w:sz w:val="28"/>
          <w:szCs w:val="28"/>
        </w:rPr>
        <w:t>sono state acquisite le dichiarazioni di pantouflage dal personale cessato dal servizio nel corso dell’anno</w:t>
      </w:r>
    </w:p>
    <w:p w14:paraId="18955931" w14:textId="77777777" w:rsidR="006301D5" w:rsidRPr="006301D5" w:rsidRDefault="006301D5" w:rsidP="006301D5">
      <w:pPr>
        <w:spacing w:after="0" w:line="276" w:lineRule="auto"/>
        <w:jc w:val="both"/>
        <w:rPr>
          <w:rStyle w:val="markedcontent"/>
          <w:rFonts w:ascii="Garamond" w:hAnsi="Garamond"/>
          <w:sz w:val="28"/>
          <w:szCs w:val="28"/>
        </w:rPr>
      </w:pPr>
      <w:r w:rsidRPr="006301D5">
        <w:rPr>
          <w:rStyle w:val="markedcontent"/>
          <w:rFonts w:ascii="Garamond" w:hAnsi="Garamond"/>
          <w:sz w:val="28"/>
          <w:szCs w:val="28"/>
        </w:rPr>
        <w:t>Il Referente TAC del Centro Servizi Amministrativi e contabili di Ateneo ha attestato che</w:t>
      </w:r>
      <w:r w:rsidR="0027600A">
        <w:rPr>
          <w:rStyle w:val="markedcontent"/>
          <w:rFonts w:ascii="Garamond" w:hAnsi="Garamond"/>
          <w:sz w:val="28"/>
          <w:szCs w:val="28"/>
        </w:rPr>
        <w:t>:</w:t>
      </w:r>
    </w:p>
    <w:p w14:paraId="348B6260" w14:textId="247758CC" w:rsidR="006301D5" w:rsidRDefault="006301D5" w:rsidP="00762767">
      <w:pPr>
        <w:pStyle w:val="Paragrafoelenco"/>
        <w:numPr>
          <w:ilvl w:val="0"/>
          <w:numId w:val="6"/>
        </w:numPr>
        <w:spacing w:after="0" w:line="276" w:lineRule="auto"/>
        <w:jc w:val="both"/>
        <w:rPr>
          <w:rStyle w:val="markedcontent"/>
          <w:rFonts w:ascii="Garamond" w:hAnsi="Garamond"/>
          <w:sz w:val="28"/>
          <w:szCs w:val="28"/>
        </w:rPr>
      </w:pPr>
      <w:r w:rsidRPr="006301D5">
        <w:rPr>
          <w:rStyle w:val="markedcontent"/>
          <w:rFonts w:ascii="Garamond" w:hAnsi="Garamond"/>
          <w:sz w:val="28"/>
          <w:szCs w:val="28"/>
        </w:rPr>
        <w:t>nei bandi di gara, negli atti prodromici agli affidamenti anche mediante procedura negoziata, è stata inserita la clausola di pantouflage prevedendo l’esclusione degli operatori economici che abbiamo affidato incarichi in violazione dell’art. 53, co</w:t>
      </w:r>
      <w:r w:rsidR="008C7CFB">
        <w:rPr>
          <w:rStyle w:val="markedcontent"/>
          <w:rFonts w:ascii="Garamond" w:hAnsi="Garamond"/>
          <w:sz w:val="28"/>
          <w:szCs w:val="28"/>
        </w:rPr>
        <w:t>mma 16 ter del D. lgs 165/2001</w:t>
      </w:r>
    </w:p>
    <w:p w14:paraId="6249D1D8" w14:textId="539FEB81" w:rsidR="006301D5" w:rsidRDefault="006301D5" w:rsidP="00471F22">
      <w:pPr>
        <w:pStyle w:val="Paragrafoelenco"/>
        <w:numPr>
          <w:ilvl w:val="0"/>
          <w:numId w:val="6"/>
        </w:numPr>
        <w:spacing w:after="0" w:line="276" w:lineRule="auto"/>
        <w:jc w:val="both"/>
        <w:rPr>
          <w:rStyle w:val="markedcontent"/>
          <w:rFonts w:ascii="Garamond" w:hAnsi="Garamond"/>
          <w:sz w:val="28"/>
          <w:szCs w:val="28"/>
        </w:rPr>
      </w:pPr>
      <w:r w:rsidRPr="006301D5">
        <w:rPr>
          <w:rStyle w:val="markedcontent"/>
          <w:rFonts w:ascii="Garamond" w:hAnsi="Garamond"/>
          <w:sz w:val="28"/>
          <w:szCs w:val="28"/>
        </w:rPr>
        <w:t>si è proceduto a controlli a campione sulle dichiarazioni e nessun</w:t>
      </w:r>
      <w:r w:rsidR="008C7CFB">
        <w:rPr>
          <w:rStyle w:val="markedcontent"/>
          <w:rFonts w:ascii="Garamond" w:hAnsi="Garamond"/>
          <w:sz w:val="28"/>
          <w:szCs w:val="28"/>
        </w:rPr>
        <w:t>a violazione è stata accertata</w:t>
      </w:r>
    </w:p>
    <w:p w14:paraId="4504248F" w14:textId="77777777" w:rsidR="006301D5" w:rsidRPr="006301D5" w:rsidRDefault="006301D5" w:rsidP="00981DEC">
      <w:pPr>
        <w:pStyle w:val="Paragrafoelenco"/>
        <w:numPr>
          <w:ilvl w:val="0"/>
          <w:numId w:val="6"/>
        </w:numPr>
        <w:spacing w:after="0" w:line="276" w:lineRule="auto"/>
        <w:jc w:val="both"/>
        <w:rPr>
          <w:rStyle w:val="markedcontent"/>
          <w:rFonts w:ascii="Garamond" w:hAnsi="Garamond"/>
          <w:sz w:val="28"/>
          <w:szCs w:val="28"/>
        </w:rPr>
      </w:pPr>
      <w:r w:rsidRPr="006301D5">
        <w:rPr>
          <w:rStyle w:val="markedcontent"/>
          <w:rFonts w:ascii="Garamond" w:hAnsi="Garamond"/>
          <w:sz w:val="28"/>
          <w:szCs w:val="28"/>
        </w:rPr>
        <w:t>non si sono verificati casi di esclusione per affidamento di incarichi in violazione dell’art.53 comma 16 ter del D. lgs 165/2001.</w:t>
      </w:r>
    </w:p>
    <w:p w14:paraId="4AFB5AAA" w14:textId="77777777" w:rsidR="006301D5" w:rsidRPr="006301D5" w:rsidRDefault="006301D5" w:rsidP="006301D5">
      <w:pPr>
        <w:spacing w:after="0" w:line="276" w:lineRule="auto"/>
        <w:jc w:val="both"/>
        <w:rPr>
          <w:rStyle w:val="markedcontent"/>
          <w:rFonts w:ascii="Garamond" w:hAnsi="Garamond"/>
          <w:sz w:val="28"/>
          <w:szCs w:val="28"/>
        </w:rPr>
      </w:pPr>
      <w:r w:rsidRPr="006301D5">
        <w:rPr>
          <w:rStyle w:val="markedcontent"/>
          <w:rFonts w:ascii="Garamond" w:hAnsi="Garamond"/>
          <w:sz w:val="28"/>
          <w:szCs w:val="28"/>
        </w:rPr>
        <w:t>Il Referente TAC del Settore Servizi Tecnici ha attestato che</w:t>
      </w:r>
      <w:r w:rsidR="0027600A">
        <w:rPr>
          <w:rStyle w:val="markedcontent"/>
          <w:rFonts w:ascii="Garamond" w:hAnsi="Garamond"/>
          <w:sz w:val="28"/>
          <w:szCs w:val="28"/>
        </w:rPr>
        <w:t>:</w:t>
      </w:r>
      <w:r w:rsidRPr="006301D5">
        <w:rPr>
          <w:rStyle w:val="markedcontent"/>
          <w:rFonts w:ascii="Garamond" w:hAnsi="Garamond"/>
          <w:sz w:val="28"/>
          <w:szCs w:val="28"/>
        </w:rPr>
        <w:t xml:space="preserve"> </w:t>
      </w:r>
    </w:p>
    <w:p w14:paraId="27D207FF" w14:textId="025F0DF6" w:rsidR="006301D5" w:rsidRDefault="006301D5" w:rsidP="004130D8">
      <w:pPr>
        <w:pStyle w:val="Paragrafoelenco"/>
        <w:numPr>
          <w:ilvl w:val="0"/>
          <w:numId w:val="6"/>
        </w:numPr>
        <w:spacing w:after="0" w:line="276" w:lineRule="auto"/>
        <w:jc w:val="both"/>
        <w:rPr>
          <w:rStyle w:val="markedcontent"/>
          <w:rFonts w:ascii="Garamond" w:hAnsi="Garamond"/>
          <w:sz w:val="28"/>
          <w:szCs w:val="28"/>
        </w:rPr>
      </w:pPr>
      <w:r w:rsidRPr="006301D5">
        <w:rPr>
          <w:rStyle w:val="markedcontent"/>
          <w:rFonts w:ascii="Garamond" w:hAnsi="Garamond"/>
          <w:sz w:val="28"/>
          <w:szCs w:val="28"/>
        </w:rPr>
        <w:t>nei bandi di gara, negli atti prodromici agli affidamenti anche mediante procedura negoziata, è stata inserita la clausola di pantouflage prevedendo l’esclusione degli operatori economici che abbiamo affidato incarichi in violazione dell’art. 53, co</w:t>
      </w:r>
      <w:r w:rsidR="008C7CFB">
        <w:rPr>
          <w:rStyle w:val="markedcontent"/>
          <w:rFonts w:ascii="Garamond" w:hAnsi="Garamond"/>
          <w:sz w:val="28"/>
          <w:szCs w:val="28"/>
        </w:rPr>
        <w:t>mma 16 ter del D. lgs 165/2001</w:t>
      </w:r>
    </w:p>
    <w:p w14:paraId="3F898C1E" w14:textId="3F88C8AE" w:rsidR="006301D5" w:rsidRDefault="006301D5" w:rsidP="00D63CCF">
      <w:pPr>
        <w:pStyle w:val="Paragrafoelenco"/>
        <w:numPr>
          <w:ilvl w:val="0"/>
          <w:numId w:val="6"/>
        </w:numPr>
        <w:spacing w:after="0" w:line="276" w:lineRule="auto"/>
        <w:jc w:val="both"/>
        <w:rPr>
          <w:rStyle w:val="markedcontent"/>
          <w:rFonts w:ascii="Garamond" w:hAnsi="Garamond"/>
          <w:sz w:val="28"/>
          <w:szCs w:val="28"/>
        </w:rPr>
      </w:pPr>
      <w:r w:rsidRPr="006301D5">
        <w:rPr>
          <w:rStyle w:val="markedcontent"/>
          <w:rFonts w:ascii="Garamond" w:hAnsi="Garamond"/>
          <w:sz w:val="28"/>
          <w:szCs w:val="28"/>
        </w:rPr>
        <w:t>non si è proceduto a controlli a campione sulle dichiarazioni in quanto negli ultimi tre anni non risultano cessate unità di personale afferenti al settore che abbiano esercitato potere autoritativo o negoz</w:t>
      </w:r>
      <w:r w:rsidR="008C7CFB">
        <w:rPr>
          <w:rStyle w:val="markedcontent"/>
          <w:rFonts w:ascii="Garamond" w:hAnsi="Garamond"/>
          <w:sz w:val="28"/>
          <w:szCs w:val="28"/>
        </w:rPr>
        <w:t>iale per conto del Politecnico</w:t>
      </w:r>
    </w:p>
    <w:p w14:paraId="1AD12382" w14:textId="77777777" w:rsidR="008F5CA3" w:rsidRPr="006301D5" w:rsidRDefault="006301D5" w:rsidP="004E26F7">
      <w:pPr>
        <w:pStyle w:val="Paragrafoelenco"/>
        <w:numPr>
          <w:ilvl w:val="0"/>
          <w:numId w:val="6"/>
        </w:numPr>
        <w:spacing w:after="0" w:line="276" w:lineRule="auto"/>
        <w:jc w:val="both"/>
        <w:rPr>
          <w:rStyle w:val="markedcontent"/>
          <w:rFonts w:ascii="Garamond" w:hAnsi="Garamond"/>
          <w:sz w:val="28"/>
          <w:szCs w:val="28"/>
        </w:rPr>
      </w:pPr>
      <w:r w:rsidRPr="006301D5">
        <w:rPr>
          <w:rStyle w:val="markedcontent"/>
          <w:rFonts w:ascii="Garamond" w:hAnsi="Garamond"/>
          <w:sz w:val="28"/>
          <w:szCs w:val="28"/>
        </w:rPr>
        <w:t>non si sono verificati casi di esclusione per affidamento di incarichi in violazione dell’art.53 comma 16 ter del D. lgs 165/2001.</w:t>
      </w:r>
    </w:p>
    <w:p w14:paraId="644BE613" w14:textId="77777777" w:rsidR="006301D5" w:rsidRDefault="006301D5" w:rsidP="006301D5">
      <w:pPr>
        <w:spacing w:after="0" w:line="276" w:lineRule="auto"/>
        <w:jc w:val="both"/>
        <w:rPr>
          <w:rStyle w:val="markedcontent"/>
          <w:rFonts w:ascii="Garamond" w:hAnsi="Garamond"/>
          <w:sz w:val="28"/>
          <w:szCs w:val="28"/>
        </w:rPr>
      </w:pPr>
    </w:p>
    <w:p w14:paraId="4EC65B6A" w14:textId="77777777" w:rsidR="00AB3891" w:rsidRPr="00E9492C" w:rsidRDefault="00AB3891" w:rsidP="00112E5B">
      <w:pPr>
        <w:spacing w:after="0" w:line="276" w:lineRule="auto"/>
        <w:jc w:val="both"/>
        <w:rPr>
          <w:rStyle w:val="markedcontent"/>
          <w:rFonts w:ascii="Garamond" w:hAnsi="Garamond"/>
          <w:b/>
          <w:sz w:val="28"/>
          <w:szCs w:val="28"/>
          <w:u w:val="single"/>
        </w:rPr>
      </w:pPr>
      <w:r w:rsidRPr="00E9492C">
        <w:rPr>
          <w:rStyle w:val="markedcontent"/>
          <w:rFonts w:ascii="Garamond" w:hAnsi="Garamond"/>
          <w:b/>
          <w:sz w:val="28"/>
          <w:szCs w:val="28"/>
          <w:u w:val="single"/>
        </w:rPr>
        <w:t>Inconferibilità di incarichi dirigenziali ed incompatibilità specifiche per posizioni</w:t>
      </w:r>
      <w:r w:rsidR="00676064" w:rsidRPr="00E9492C">
        <w:rPr>
          <w:rStyle w:val="markedcontent"/>
          <w:rFonts w:ascii="Garamond" w:hAnsi="Garamond"/>
          <w:b/>
          <w:sz w:val="28"/>
          <w:szCs w:val="28"/>
          <w:u w:val="single"/>
        </w:rPr>
        <w:t xml:space="preserve"> </w:t>
      </w:r>
      <w:r w:rsidRPr="00E9492C">
        <w:rPr>
          <w:rStyle w:val="markedcontent"/>
          <w:rFonts w:ascii="Garamond" w:hAnsi="Garamond"/>
          <w:b/>
          <w:sz w:val="28"/>
          <w:szCs w:val="28"/>
          <w:u w:val="single"/>
        </w:rPr>
        <w:t xml:space="preserve">dirigenziali </w:t>
      </w:r>
    </w:p>
    <w:p w14:paraId="2AADDCA8" w14:textId="38E07416" w:rsidR="002C7018" w:rsidRPr="002C7018" w:rsidRDefault="008C7CFB" w:rsidP="002C7018">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w:t>
      </w:r>
      <w:r w:rsidRPr="002C7018">
        <w:rPr>
          <w:rStyle w:val="markedcontent"/>
          <w:rFonts w:ascii="Garamond" w:hAnsi="Garamond"/>
          <w:sz w:val="28"/>
          <w:szCs w:val="28"/>
        </w:rPr>
        <w:t xml:space="preserve"> </w:t>
      </w:r>
      <w:r>
        <w:rPr>
          <w:rStyle w:val="markedcontent"/>
          <w:rFonts w:ascii="Garamond" w:hAnsi="Garamond"/>
          <w:sz w:val="28"/>
          <w:szCs w:val="28"/>
        </w:rPr>
        <w:t>i</w:t>
      </w:r>
      <w:r w:rsidR="002C7018" w:rsidRPr="002C7018">
        <w:rPr>
          <w:rStyle w:val="markedcontent"/>
          <w:rFonts w:ascii="Garamond" w:hAnsi="Garamond"/>
          <w:sz w:val="28"/>
          <w:szCs w:val="28"/>
        </w:rPr>
        <w:t>l Referente TAC Settore Risorse umane ha attestato che</w:t>
      </w:r>
      <w:r w:rsidR="0027600A">
        <w:rPr>
          <w:rStyle w:val="markedcontent"/>
          <w:rFonts w:ascii="Garamond" w:hAnsi="Garamond"/>
          <w:sz w:val="28"/>
          <w:szCs w:val="28"/>
        </w:rPr>
        <w:t>:</w:t>
      </w:r>
    </w:p>
    <w:p w14:paraId="6AF6E921" w14:textId="0E0188EA" w:rsidR="0027600A" w:rsidRPr="0027600A" w:rsidRDefault="002C7018" w:rsidP="0027600A">
      <w:pPr>
        <w:pStyle w:val="Paragrafoelenco"/>
        <w:numPr>
          <w:ilvl w:val="0"/>
          <w:numId w:val="6"/>
        </w:numPr>
        <w:spacing w:after="0" w:line="276" w:lineRule="auto"/>
        <w:jc w:val="both"/>
        <w:rPr>
          <w:rStyle w:val="markedcontent"/>
          <w:rFonts w:ascii="Garamond" w:hAnsi="Garamond"/>
          <w:sz w:val="28"/>
          <w:szCs w:val="28"/>
        </w:rPr>
      </w:pPr>
      <w:r w:rsidRPr="0027600A">
        <w:rPr>
          <w:rStyle w:val="markedcontent"/>
          <w:rFonts w:ascii="Garamond" w:hAnsi="Garamond"/>
          <w:sz w:val="28"/>
          <w:szCs w:val="28"/>
        </w:rPr>
        <w:t>non è stato conferito al</w:t>
      </w:r>
      <w:r w:rsidR="008C7CFB">
        <w:rPr>
          <w:rStyle w:val="markedcontent"/>
          <w:rFonts w:ascii="Garamond" w:hAnsi="Garamond"/>
          <w:sz w:val="28"/>
          <w:szCs w:val="28"/>
        </w:rPr>
        <w:t>cun nuovo incarico dirigenziale.</w:t>
      </w:r>
    </w:p>
    <w:p w14:paraId="1D5A7780" w14:textId="77777777" w:rsidR="002C7018" w:rsidRPr="0027600A" w:rsidRDefault="002C7018" w:rsidP="0027600A">
      <w:pPr>
        <w:spacing w:after="0" w:line="276" w:lineRule="auto"/>
        <w:jc w:val="both"/>
        <w:rPr>
          <w:rStyle w:val="markedcontent"/>
          <w:rFonts w:ascii="Garamond" w:hAnsi="Garamond"/>
          <w:sz w:val="28"/>
          <w:szCs w:val="28"/>
        </w:rPr>
      </w:pPr>
      <w:r w:rsidRPr="0027600A">
        <w:rPr>
          <w:rStyle w:val="markedcontent"/>
          <w:rFonts w:ascii="Garamond" w:hAnsi="Garamond"/>
          <w:sz w:val="28"/>
          <w:szCs w:val="28"/>
        </w:rPr>
        <w:t>Il Referente TAC dell’Unità di Staff della Direzione generale ha attestato che</w:t>
      </w:r>
      <w:r w:rsidR="0027600A" w:rsidRPr="0027600A">
        <w:rPr>
          <w:rStyle w:val="markedcontent"/>
          <w:rFonts w:ascii="Garamond" w:hAnsi="Garamond"/>
          <w:sz w:val="28"/>
          <w:szCs w:val="28"/>
        </w:rPr>
        <w:t>:</w:t>
      </w:r>
      <w:r w:rsidRPr="0027600A">
        <w:rPr>
          <w:rStyle w:val="markedcontent"/>
          <w:rFonts w:ascii="Garamond" w:hAnsi="Garamond"/>
          <w:sz w:val="28"/>
          <w:szCs w:val="28"/>
        </w:rPr>
        <w:t xml:space="preserve"> </w:t>
      </w:r>
    </w:p>
    <w:p w14:paraId="32A71B2E" w14:textId="47092F4F" w:rsidR="002C7018" w:rsidRPr="0027600A" w:rsidRDefault="002C7018" w:rsidP="0027600A">
      <w:pPr>
        <w:pStyle w:val="Paragrafoelenco"/>
        <w:numPr>
          <w:ilvl w:val="0"/>
          <w:numId w:val="8"/>
        </w:numPr>
        <w:spacing w:after="0" w:line="276" w:lineRule="auto"/>
        <w:jc w:val="both"/>
        <w:rPr>
          <w:rStyle w:val="markedcontent"/>
          <w:rFonts w:ascii="Garamond" w:hAnsi="Garamond"/>
          <w:sz w:val="28"/>
          <w:szCs w:val="28"/>
        </w:rPr>
      </w:pPr>
      <w:r w:rsidRPr="0027600A">
        <w:rPr>
          <w:rStyle w:val="markedcontent"/>
          <w:rFonts w:ascii="Garamond" w:hAnsi="Garamond"/>
          <w:sz w:val="28"/>
          <w:szCs w:val="28"/>
        </w:rPr>
        <w:t>non sono stati co</w:t>
      </w:r>
      <w:r w:rsidR="008C7CFB">
        <w:rPr>
          <w:rStyle w:val="markedcontent"/>
          <w:rFonts w:ascii="Garamond" w:hAnsi="Garamond"/>
          <w:sz w:val="28"/>
          <w:szCs w:val="28"/>
        </w:rPr>
        <w:t>nferiti incarichi dirigenziali</w:t>
      </w:r>
    </w:p>
    <w:p w14:paraId="4FCA7798" w14:textId="4668CB08" w:rsidR="00AB3891" w:rsidRPr="0027600A" w:rsidRDefault="002C7018" w:rsidP="0027600A">
      <w:pPr>
        <w:pStyle w:val="Paragrafoelenco"/>
        <w:numPr>
          <w:ilvl w:val="0"/>
          <w:numId w:val="8"/>
        </w:numPr>
        <w:spacing w:after="0" w:line="276" w:lineRule="auto"/>
        <w:jc w:val="both"/>
        <w:rPr>
          <w:rStyle w:val="markedcontent"/>
          <w:rFonts w:ascii="Garamond" w:hAnsi="Garamond"/>
          <w:sz w:val="28"/>
          <w:szCs w:val="28"/>
        </w:rPr>
      </w:pPr>
      <w:r w:rsidRPr="0027600A">
        <w:rPr>
          <w:rStyle w:val="markedcontent"/>
          <w:rFonts w:ascii="Garamond" w:hAnsi="Garamond"/>
          <w:sz w:val="28"/>
          <w:szCs w:val="28"/>
        </w:rPr>
        <w:lastRenderedPageBreak/>
        <w:t>le dichiarazioni annuali sulla insussistenza delle cause di incompatibilità al conferimento dell’incarico sono state trasmesse ai fini della pubblicazione nella sezione Amministrazione Trasparente del sito web del Politecnico</w:t>
      </w:r>
      <w:r w:rsidR="008C7CFB">
        <w:rPr>
          <w:rStyle w:val="markedcontent"/>
          <w:rFonts w:ascii="Garamond" w:hAnsi="Garamond"/>
          <w:sz w:val="28"/>
          <w:szCs w:val="28"/>
        </w:rPr>
        <w:t>.</w:t>
      </w:r>
    </w:p>
    <w:p w14:paraId="255AF1CA" w14:textId="77777777" w:rsidR="002C7018" w:rsidRDefault="002C7018" w:rsidP="00112E5B">
      <w:pPr>
        <w:spacing w:after="0" w:line="276" w:lineRule="auto"/>
        <w:jc w:val="both"/>
        <w:rPr>
          <w:rStyle w:val="markedcontent"/>
          <w:rFonts w:ascii="Garamond" w:hAnsi="Garamond"/>
          <w:b/>
          <w:sz w:val="28"/>
          <w:szCs w:val="28"/>
          <w:u w:val="single"/>
        </w:rPr>
      </w:pPr>
    </w:p>
    <w:p w14:paraId="2CFA979E" w14:textId="77777777" w:rsidR="002055F4" w:rsidRPr="00676064" w:rsidRDefault="00865975" w:rsidP="00112E5B">
      <w:pPr>
        <w:spacing w:after="0" w:line="276" w:lineRule="auto"/>
        <w:jc w:val="both"/>
        <w:rPr>
          <w:rStyle w:val="markedcontent"/>
          <w:rFonts w:ascii="Garamond" w:hAnsi="Garamond"/>
          <w:b/>
          <w:sz w:val="28"/>
          <w:szCs w:val="28"/>
          <w:u w:val="single"/>
        </w:rPr>
      </w:pPr>
      <w:r w:rsidRPr="00676064">
        <w:rPr>
          <w:rStyle w:val="markedcontent"/>
          <w:rFonts w:ascii="Garamond" w:hAnsi="Garamond"/>
          <w:b/>
          <w:sz w:val="28"/>
          <w:szCs w:val="28"/>
          <w:u w:val="single"/>
        </w:rPr>
        <w:t>Formazione di commissioni, assegnazione agli uffici, conferimento di incarichi</w:t>
      </w:r>
      <w:r w:rsidRPr="00676064">
        <w:rPr>
          <w:rStyle w:val="markedcontent"/>
          <w:rFonts w:ascii="Garamond" w:hAnsi="Garamond"/>
          <w:b/>
          <w:sz w:val="28"/>
          <w:szCs w:val="28"/>
          <w:u w:val="single"/>
        </w:rPr>
        <w:br/>
        <w:t>dirigenziali in caso di condanna penale per delitti contro la pubblica amministrazione</w:t>
      </w:r>
      <w:r w:rsidR="002055F4" w:rsidRPr="00676064">
        <w:rPr>
          <w:rStyle w:val="markedcontent"/>
          <w:rFonts w:ascii="Garamond" w:hAnsi="Garamond"/>
          <w:b/>
          <w:sz w:val="28"/>
          <w:szCs w:val="28"/>
          <w:u w:val="single"/>
        </w:rPr>
        <w:t xml:space="preserve"> (</w:t>
      </w:r>
      <w:r w:rsidRPr="00676064">
        <w:rPr>
          <w:rStyle w:val="markedcontent"/>
          <w:rFonts w:ascii="Garamond" w:hAnsi="Garamond"/>
          <w:b/>
          <w:sz w:val="28"/>
          <w:szCs w:val="28"/>
          <w:u w:val="single"/>
        </w:rPr>
        <w:t>art. 35bis D. Lgs. 165/2001</w:t>
      </w:r>
      <w:r w:rsidR="002055F4" w:rsidRPr="00676064">
        <w:rPr>
          <w:rStyle w:val="markedcontent"/>
          <w:rFonts w:ascii="Garamond" w:hAnsi="Garamond"/>
          <w:b/>
          <w:sz w:val="28"/>
          <w:szCs w:val="28"/>
          <w:u w:val="single"/>
        </w:rPr>
        <w:t>)</w:t>
      </w:r>
    </w:p>
    <w:p w14:paraId="24975BF2" w14:textId="7F9C9942" w:rsidR="00A71885" w:rsidRDefault="008C7CFB" w:rsidP="002C29E8">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w:t>
      </w:r>
      <w:r w:rsidRPr="00A71885">
        <w:rPr>
          <w:rStyle w:val="markedcontent"/>
          <w:rFonts w:ascii="Garamond" w:hAnsi="Garamond"/>
          <w:sz w:val="28"/>
          <w:szCs w:val="28"/>
        </w:rPr>
        <w:t xml:space="preserve"> </w:t>
      </w:r>
      <w:r w:rsidR="00A71885" w:rsidRPr="00A71885">
        <w:rPr>
          <w:rStyle w:val="markedcontent"/>
          <w:rFonts w:ascii="Garamond" w:hAnsi="Garamond"/>
          <w:sz w:val="28"/>
          <w:szCs w:val="28"/>
        </w:rPr>
        <w:t>Il Referente TAC Settore Risorse umane ha attestato che</w:t>
      </w:r>
      <w:r w:rsidR="0027600A">
        <w:rPr>
          <w:rStyle w:val="markedcontent"/>
          <w:rFonts w:ascii="Garamond" w:hAnsi="Garamond"/>
          <w:sz w:val="28"/>
          <w:szCs w:val="28"/>
        </w:rPr>
        <w:t>:</w:t>
      </w:r>
      <w:r w:rsidR="00A71885" w:rsidRPr="00A71885">
        <w:rPr>
          <w:rStyle w:val="markedcontent"/>
          <w:rFonts w:ascii="Garamond" w:hAnsi="Garamond"/>
          <w:sz w:val="28"/>
          <w:szCs w:val="28"/>
        </w:rPr>
        <w:t xml:space="preserve"> </w:t>
      </w:r>
    </w:p>
    <w:p w14:paraId="5DAF1AB2" w14:textId="18AFBF1B" w:rsidR="00A71885" w:rsidRDefault="00A71885" w:rsidP="002C29E8">
      <w:pPr>
        <w:pStyle w:val="Paragrafoelenco"/>
        <w:numPr>
          <w:ilvl w:val="0"/>
          <w:numId w:val="6"/>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nei bandi, nelle richieste di manifestazione di interesse o altra tipologia di procedura emanata per l’attribuzione degli incarichi, sono state inserite espressamente le condizioni ostative al</w:t>
      </w:r>
      <w:r w:rsidR="008C7CFB">
        <w:rPr>
          <w:rStyle w:val="markedcontent"/>
          <w:rFonts w:ascii="Garamond" w:hAnsi="Garamond"/>
          <w:sz w:val="28"/>
          <w:szCs w:val="28"/>
        </w:rPr>
        <w:t xml:space="preserve"> conferimento</w:t>
      </w:r>
    </w:p>
    <w:p w14:paraId="219FF8F4" w14:textId="53133441" w:rsidR="00A71885" w:rsidRDefault="00A71885" w:rsidP="002C29E8">
      <w:pPr>
        <w:pStyle w:val="Paragrafoelenco"/>
        <w:numPr>
          <w:ilvl w:val="0"/>
          <w:numId w:val="6"/>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 xml:space="preserve">all’atto del conferimento dell’incarico è stata acquisita, da parte dei membri delle commissioni, la dichiarazione di insussistenza </w:t>
      </w:r>
      <w:r w:rsidR="008C7CFB">
        <w:rPr>
          <w:rStyle w:val="markedcontent"/>
          <w:rFonts w:ascii="Garamond" w:hAnsi="Garamond"/>
          <w:sz w:val="28"/>
          <w:szCs w:val="28"/>
        </w:rPr>
        <w:t>delle cause di inconferibilità</w:t>
      </w:r>
    </w:p>
    <w:p w14:paraId="111E7DC3" w14:textId="432028BD" w:rsidR="00A71885" w:rsidRDefault="00A71885" w:rsidP="002C29E8">
      <w:pPr>
        <w:pStyle w:val="Paragrafoelenco"/>
        <w:numPr>
          <w:ilvl w:val="0"/>
          <w:numId w:val="6"/>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è stata verificata la sussistenza di eventuali precedenti penali dei soggetti cui sono stati conferiti gli incarichi mediante acquisizione della dichiarazione sostitutiva di certifi</w:t>
      </w:r>
      <w:r w:rsidR="008C7CFB">
        <w:rPr>
          <w:rStyle w:val="markedcontent"/>
          <w:rFonts w:ascii="Garamond" w:hAnsi="Garamond"/>
          <w:sz w:val="28"/>
          <w:szCs w:val="28"/>
        </w:rPr>
        <w:t>cazione resa dagli interessati</w:t>
      </w:r>
    </w:p>
    <w:p w14:paraId="59CB6280" w14:textId="6B4BF8B8" w:rsidR="00A71885" w:rsidRDefault="00A71885" w:rsidP="002C29E8">
      <w:pPr>
        <w:pStyle w:val="Paragrafoelenco"/>
        <w:numPr>
          <w:ilvl w:val="0"/>
          <w:numId w:val="6"/>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con riferimento all’attività di controllo a campione sulle dichiarazioni rese dai componenti di commissione in ordine alla sussistenza di eventuali precedenti penali per delitti contro la Pubblica Amministrazione, si riferisce che le stesse sono state avviate, come previsto dal Piano, e che si resta in attesa di riscontro delle verifiche da parte del competente Casellari</w:t>
      </w:r>
      <w:r w:rsidR="008C7CFB">
        <w:rPr>
          <w:rStyle w:val="markedcontent"/>
          <w:rFonts w:ascii="Garamond" w:hAnsi="Garamond"/>
          <w:sz w:val="28"/>
          <w:szCs w:val="28"/>
        </w:rPr>
        <w:t>o Giudiziale</w:t>
      </w:r>
    </w:p>
    <w:p w14:paraId="6A8EBF56" w14:textId="56C13221" w:rsidR="00A71885" w:rsidRPr="00A71885" w:rsidRDefault="00A71885" w:rsidP="002C29E8">
      <w:pPr>
        <w:pStyle w:val="Paragrafoelenco"/>
        <w:numPr>
          <w:ilvl w:val="0"/>
          <w:numId w:val="6"/>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 xml:space="preserve">all’atto dell’assegnazione di dipendenti (dirigenti, funzionari e collaboratori titolari di posizioni organizzative) a settori/uffici considerati a più elevato rischio di corruzione, (personale preposto alla gestione delle risorse finanziarie, acquisizione di beni, servizi e forniture o alla concessione di sovvenzioni, contributi, sussidi, ausili finanziari o di vantaggi economici), mediante acquisizione d’ufficio, è stata verificata e accertata, la sussistenza di eventuali precedenti penali </w:t>
      </w:r>
      <w:r w:rsidR="008C7CFB">
        <w:rPr>
          <w:rStyle w:val="markedcontent"/>
          <w:rFonts w:ascii="Garamond" w:hAnsi="Garamond"/>
          <w:sz w:val="28"/>
          <w:szCs w:val="28"/>
        </w:rPr>
        <w:t>mediante acquisizione d’ufficio</w:t>
      </w:r>
    </w:p>
    <w:p w14:paraId="014F233B" w14:textId="017A4CA1" w:rsidR="00A71885" w:rsidRPr="00A71885" w:rsidRDefault="00A71885" w:rsidP="002C29E8">
      <w:pPr>
        <w:pStyle w:val="Paragrafoelenco"/>
        <w:numPr>
          <w:ilvl w:val="0"/>
          <w:numId w:val="6"/>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nel corso dell’anno 2021 non è stato adottato il Regolamento per la formazione delle commissioni per l’accesso o la selezione a pubblici impieghi e la composizione delle commissioni in quanto i regolamenti attualmente vigenti già individuano criteri per la selezione delle commissioni</w:t>
      </w:r>
      <w:r w:rsidR="009E04E4">
        <w:rPr>
          <w:rStyle w:val="markedcontent"/>
          <w:rFonts w:ascii="Garamond" w:hAnsi="Garamond"/>
          <w:sz w:val="28"/>
          <w:szCs w:val="28"/>
        </w:rPr>
        <w:t>.</w:t>
      </w:r>
      <w:r>
        <w:rPr>
          <w:rStyle w:val="markedcontent"/>
          <w:rFonts w:ascii="Garamond" w:hAnsi="Garamond"/>
          <w:sz w:val="28"/>
          <w:szCs w:val="28"/>
        </w:rPr>
        <w:t xml:space="preserve"> </w:t>
      </w:r>
    </w:p>
    <w:p w14:paraId="540751DE" w14:textId="77777777" w:rsidR="00A71885" w:rsidRPr="00A71885" w:rsidRDefault="00A71885" w:rsidP="002C29E8">
      <w:pPr>
        <w:spacing w:after="0" w:line="276" w:lineRule="auto"/>
        <w:jc w:val="both"/>
        <w:rPr>
          <w:rStyle w:val="markedcontent"/>
          <w:rFonts w:ascii="Garamond" w:hAnsi="Garamond"/>
          <w:sz w:val="28"/>
          <w:szCs w:val="28"/>
        </w:rPr>
      </w:pPr>
      <w:r w:rsidRPr="00A71885">
        <w:rPr>
          <w:rStyle w:val="markedcontent"/>
          <w:rFonts w:ascii="Garamond" w:hAnsi="Garamond"/>
          <w:sz w:val="28"/>
          <w:szCs w:val="28"/>
        </w:rPr>
        <w:t>Il Referente TAC del Centro Servizi Amministrativi e contabili di Ateneo ha attestato che</w:t>
      </w:r>
      <w:r w:rsidR="002C29E8">
        <w:rPr>
          <w:rStyle w:val="markedcontent"/>
          <w:rFonts w:ascii="Garamond" w:hAnsi="Garamond"/>
          <w:sz w:val="28"/>
          <w:szCs w:val="28"/>
        </w:rPr>
        <w:t>:</w:t>
      </w:r>
    </w:p>
    <w:p w14:paraId="37DC9DC6" w14:textId="57A9646A" w:rsidR="00A71885" w:rsidRDefault="00A71885" w:rsidP="002C29E8">
      <w:pPr>
        <w:pStyle w:val="Paragrafoelenco"/>
        <w:numPr>
          <w:ilvl w:val="0"/>
          <w:numId w:val="6"/>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le condizioni ostative al conferimento degli incarichi vengono in</w:t>
      </w:r>
      <w:r w:rsidR="008C7CFB">
        <w:rPr>
          <w:rStyle w:val="markedcontent"/>
          <w:rFonts w:ascii="Garamond" w:hAnsi="Garamond"/>
          <w:sz w:val="28"/>
          <w:szCs w:val="28"/>
        </w:rPr>
        <w:t>serite nella lettera di invito</w:t>
      </w:r>
    </w:p>
    <w:p w14:paraId="259D77FE" w14:textId="5D84AA72" w:rsidR="00A71885" w:rsidRDefault="00A71885" w:rsidP="002C29E8">
      <w:pPr>
        <w:pStyle w:val="Paragrafoelenco"/>
        <w:numPr>
          <w:ilvl w:val="0"/>
          <w:numId w:val="6"/>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 xml:space="preserve">all’atto del conferimento dell’incarico è stata acquisita, da parte dei membri delle commissioni, la dichiarazione di insussistenza </w:t>
      </w:r>
      <w:r w:rsidR="008C7CFB">
        <w:rPr>
          <w:rStyle w:val="markedcontent"/>
          <w:rFonts w:ascii="Garamond" w:hAnsi="Garamond"/>
          <w:sz w:val="28"/>
          <w:szCs w:val="28"/>
        </w:rPr>
        <w:t>delle cause di inconferibilità</w:t>
      </w:r>
    </w:p>
    <w:p w14:paraId="2511148E" w14:textId="2D577B2F" w:rsidR="00A71885" w:rsidRDefault="00A71885" w:rsidP="002C29E8">
      <w:pPr>
        <w:pStyle w:val="Paragrafoelenco"/>
        <w:numPr>
          <w:ilvl w:val="0"/>
          <w:numId w:val="6"/>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è stata verificata la sussistenza di eventuali precedenti penali dei soggetti cui sono stati conferiti gli incarichi m</w:t>
      </w:r>
      <w:r w:rsidR="008C7CFB">
        <w:rPr>
          <w:rStyle w:val="markedcontent"/>
          <w:rFonts w:ascii="Garamond" w:hAnsi="Garamond"/>
          <w:sz w:val="28"/>
          <w:szCs w:val="28"/>
        </w:rPr>
        <w:t>ediante acquisizione d’ufficio</w:t>
      </w:r>
    </w:p>
    <w:p w14:paraId="1B4E57CA" w14:textId="5CF145FF" w:rsidR="00A71885" w:rsidRDefault="00A71885" w:rsidP="002C29E8">
      <w:pPr>
        <w:pStyle w:val="Paragrafoelenco"/>
        <w:numPr>
          <w:ilvl w:val="0"/>
          <w:numId w:val="6"/>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i controlli a campione sulle dichiarazioni sopra ci</w:t>
      </w:r>
      <w:r w:rsidR="008C7CFB">
        <w:rPr>
          <w:rStyle w:val="markedcontent"/>
          <w:rFonts w:ascii="Garamond" w:hAnsi="Garamond"/>
          <w:sz w:val="28"/>
          <w:szCs w:val="28"/>
        </w:rPr>
        <w:t>tate hanno dato esito negativo</w:t>
      </w:r>
    </w:p>
    <w:p w14:paraId="278AAFCF" w14:textId="0E564759" w:rsidR="00A71885" w:rsidRDefault="00A71885" w:rsidP="002C29E8">
      <w:pPr>
        <w:pStyle w:val="Paragrafoelenco"/>
        <w:numPr>
          <w:ilvl w:val="0"/>
          <w:numId w:val="6"/>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lastRenderedPageBreak/>
        <w:t>l’Ateneo non ha adottato il Regolamento per la composizione delle commission</w:t>
      </w:r>
      <w:r w:rsidR="008C7CFB">
        <w:rPr>
          <w:rStyle w:val="markedcontent"/>
          <w:rFonts w:ascii="Garamond" w:hAnsi="Garamond"/>
          <w:sz w:val="28"/>
          <w:szCs w:val="28"/>
        </w:rPr>
        <w:t>i per la scelta del contraente</w:t>
      </w:r>
    </w:p>
    <w:p w14:paraId="0E87605C" w14:textId="77777777" w:rsidR="00A71885" w:rsidRPr="00A71885" w:rsidRDefault="00A71885" w:rsidP="002C29E8">
      <w:pPr>
        <w:pStyle w:val="Paragrafoelenco"/>
        <w:numPr>
          <w:ilvl w:val="0"/>
          <w:numId w:val="6"/>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la composizione delle commissioni per la scelta del contraente è individuata dal RUP d’intesa con il Direttore Generale o con il Direttore del Dipartimento.</w:t>
      </w:r>
    </w:p>
    <w:p w14:paraId="7A8859D3" w14:textId="77777777" w:rsidR="00A71885" w:rsidRPr="00A71885" w:rsidRDefault="00A71885" w:rsidP="002C29E8">
      <w:pPr>
        <w:spacing w:after="0" w:line="276" w:lineRule="auto"/>
        <w:jc w:val="both"/>
        <w:rPr>
          <w:rStyle w:val="markedcontent"/>
          <w:rFonts w:ascii="Garamond" w:hAnsi="Garamond"/>
          <w:sz w:val="28"/>
          <w:szCs w:val="28"/>
        </w:rPr>
      </w:pPr>
      <w:r w:rsidRPr="00A71885">
        <w:rPr>
          <w:rStyle w:val="markedcontent"/>
          <w:rFonts w:ascii="Garamond" w:hAnsi="Garamond"/>
          <w:sz w:val="28"/>
          <w:szCs w:val="28"/>
        </w:rPr>
        <w:t>Il Referente TAC del Settore Servizi Tecnici ha attestato che</w:t>
      </w:r>
      <w:r w:rsidR="0027600A">
        <w:rPr>
          <w:rStyle w:val="markedcontent"/>
          <w:rFonts w:ascii="Garamond" w:hAnsi="Garamond"/>
          <w:sz w:val="28"/>
          <w:szCs w:val="28"/>
        </w:rPr>
        <w:t>:</w:t>
      </w:r>
      <w:r w:rsidRPr="00A71885">
        <w:rPr>
          <w:rStyle w:val="markedcontent"/>
          <w:rFonts w:ascii="Garamond" w:hAnsi="Garamond"/>
          <w:sz w:val="28"/>
          <w:szCs w:val="28"/>
        </w:rPr>
        <w:t xml:space="preserve"> </w:t>
      </w:r>
    </w:p>
    <w:p w14:paraId="5BEADA87" w14:textId="3E453931" w:rsidR="00A71885" w:rsidRPr="00A71885" w:rsidRDefault="00A71885" w:rsidP="002C29E8">
      <w:pPr>
        <w:pStyle w:val="Paragrafoelenco"/>
        <w:numPr>
          <w:ilvl w:val="0"/>
          <w:numId w:val="6"/>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non è stato emanato alcun bando, manifestazione di interesse o altra tipologia di procedura per la formazione di commissioni giudicatrici, in quanto non sono state indette procedure di gara da aggiudicarsi con il criterio dell’offerta</w:t>
      </w:r>
      <w:r w:rsidR="008C7CFB">
        <w:rPr>
          <w:rStyle w:val="markedcontent"/>
          <w:rFonts w:ascii="Garamond" w:hAnsi="Garamond"/>
          <w:sz w:val="28"/>
          <w:szCs w:val="28"/>
        </w:rPr>
        <w:t xml:space="preserve"> economicamente più vantaggiosa</w:t>
      </w:r>
    </w:p>
    <w:p w14:paraId="5BCE5604" w14:textId="7A5DCCDF" w:rsidR="00A71885" w:rsidRDefault="00A71885" w:rsidP="002C29E8">
      <w:pPr>
        <w:pStyle w:val="Paragrafoelenco"/>
        <w:numPr>
          <w:ilvl w:val="0"/>
          <w:numId w:val="6"/>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l’Ateneo non ha adottato il Regolamento per la composizione delle commissioni per la scelta del contraente e si sta provvedendo alla redazione del regolamento unitamente agli altri uff</w:t>
      </w:r>
      <w:r w:rsidR="008C7CFB">
        <w:rPr>
          <w:rStyle w:val="markedcontent"/>
          <w:rFonts w:ascii="Garamond" w:hAnsi="Garamond"/>
          <w:sz w:val="28"/>
          <w:szCs w:val="28"/>
        </w:rPr>
        <w:t>ici del Politecnico interessati</w:t>
      </w:r>
      <w:r w:rsidRPr="00A71885">
        <w:rPr>
          <w:rStyle w:val="markedcontent"/>
          <w:rFonts w:ascii="Garamond" w:hAnsi="Garamond"/>
          <w:sz w:val="28"/>
          <w:szCs w:val="28"/>
        </w:rPr>
        <w:t xml:space="preserve"> </w:t>
      </w:r>
    </w:p>
    <w:p w14:paraId="15C6C3A7" w14:textId="77777777" w:rsidR="00A71885" w:rsidRPr="00A71885" w:rsidRDefault="00A71885" w:rsidP="002C29E8">
      <w:pPr>
        <w:pStyle w:val="Paragrafoelenco"/>
        <w:numPr>
          <w:ilvl w:val="0"/>
          <w:numId w:val="6"/>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la composizione delle commissioni per la scelta del contraente è individuata come di seguito “Ai sensi dell’art. 77 del D.lgs. 50/2016 nelle procedure di affidamento di contratti di appalti aggiudicati con il criterio dell'offerta economicamente più vantaggiosa, la valutazione delle offerte dal punto di vista tecnico ed economico è affidata ad una commissione giudicatrice, composta da un numero dispari di commissari, non superiore a cinque, individuato dalla stazione appaltante tra esperti nello specifico settore cui afferisce l'oggetto del contratto. I commissari non devono aver svolto né possono svolgere alcun'altra funzione o incarico tecnico o amministrativo relativamente al contratto del cui affidamento si tratta. Inoltre, coloro che, nel biennio antecedente all'indizione della procedura di aggiudicazione, hanno ricoperto cariche di pubblico amministratore, non possono essere nominati commissari giudicatori relativamente ai contratti affidati dalle Amministrazioni presso le quali hanno esercitato le proprie funzioni d'istituto”.</w:t>
      </w:r>
    </w:p>
    <w:p w14:paraId="054C9C3D" w14:textId="77777777" w:rsidR="00372410" w:rsidRPr="00372410" w:rsidRDefault="00A71885" w:rsidP="002C29E8">
      <w:pPr>
        <w:spacing w:after="0" w:line="276" w:lineRule="auto"/>
        <w:jc w:val="both"/>
        <w:rPr>
          <w:rStyle w:val="markedcontent"/>
          <w:rFonts w:ascii="Garamond" w:hAnsi="Garamond"/>
          <w:sz w:val="28"/>
          <w:szCs w:val="28"/>
        </w:rPr>
      </w:pPr>
      <w:r w:rsidRPr="00A71885">
        <w:rPr>
          <w:rStyle w:val="markedcontent"/>
          <w:rFonts w:ascii="Garamond" w:hAnsi="Garamond"/>
          <w:sz w:val="28"/>
          <w:szCs w:val="28"/>
        </w:rPr>
        <w:t>Non sono pervenute al RPCT segnalazioni relative alla violazione dell’obbligo</w:t>
      </w:r>
      <w:r w:rsidR="00372410" w:rsidRPr="00372410">
        <w:rPr>
          <w:rStyle w:val="markedcontent"/>
          <w:rFonts w:ascii="Garamond" w:hAnsi="Garamond"/>
          <w:sz w:val="28"/>
          <w:szCs w:val="28"/>
        </w:rPr>
        <w:t>.</w:t>
      </w:r>
    </w:p>
    <w:p w14:paraId="671276F9" w14:textId="77777777" w:rsidR="00372410" w:rsidRDefault="00372410" w:rsidP="00112E5B">
      <w:pPr>
        <w:spacing w:after="0" w:line="276" w:lineRule="auto"/>
        <w:jc w:val="both"/>
        <w:rPr>
          <w:rStyle w:val="markedcontent"/>
          <w:rFonts w:ascii="Garamond" w:hAnsi="Garamond"/>
          <w:sz w:val="28"/>
          <w:szCs w:val="28"/>
        </w:rPr>
      </w:pPr>
    </w:p>
    <w:p w14:paraId="4A6B0BBE" w14:textId="77777777" w:rsidR="007E71E1" w:rsidRPr="007F367B" w:rsidRDefault="007E71E1" w:rsidP="007E71E1">
      <w:pPr>
        <w:spacing w:after="0" w:line="240" w:lineRule="auto"/>
        <w:jc w:val="both"/>
        <w:rPr>
          <w:rStyle w:val="markedcontent"/>
          <w:rFonts w:ascii="Garamond" w:hAnsi="Garamond"/>
          <w:b/>
          <w:sz w:val="28"/>
          <w:szCs w:val="28"/>
          <w:u w:val="single"/>
        </w:rPr>
      </w:pPr>
      <w:r w:rsidRPr="007F367B">
        <w:rPr>
          <w:rStyle w:val="markedcontent"/>
          <w:rFonts w:ascii="Garamond" w:hAnsi="Garamond"/>
          <w:b/>
          <w:sz w:val="28"/>
          <w:szCs w:val="28"/>
          <w:u w:val="single"/>
        </w:rPr>
        <w:t>Tutela del dipendente che effettua segnalazioni di illecito</w:t>
      </w:r>
    </w:p>
    <w:p w14:paraId="07AE5756" w14:textId="77777777" w:rsidR="00A50EE7" w:rsidRPr="0085008C" w:rsidRDefault="0085008C" w:rsidP="007E71E1">
      <w:pPr>
        <w:spacing w:after="0" w:line="276" w:lineRule="auto"/>
        <w:jc w:val="both"/>
        <w:rPr>
          <w:rStyle w:val="markedcontent"/>
          <w:rFonts w:ascii="Garamond" w:hAnsi="Garamond"/>
          <w:sz w:val="28"/>
          <w:szCs w:val="28"/>
        </w:rPr>
      </w:pPr>
      <w:r w:rsidRPr="0085008C">
        <w:rPr>
          <w:rStyle w:val="markedcontent"/>
          <w:rFonts w:ascii="Garamond" w:hAnsi="Garamond"/>
          <w:sz w:val="28"/>
          <w:szCs w:val="28"/>
        </w:rPr>
        <w:t xml:space="preserve">Relativamente al monitoraggio dell’attuazione della misura il </w:t>
      </w:r>
      <w:proofErr w:type="gramStart"/>
      <w:r w:rsidRPr="0085008C">
        <w:rPr>
          <w:rStyle w:val="markedcontent"/>
          <w:rFonts w:ascii="Garamond" w:hAnsi="Garamond"/>
          <w:sz w:val="28"/>
          <w:szCs w:val="28"/>
        </w:rPr>
        <w:t>Consiglio di</w:t>
      </w:r>
      <w:r>
        <w:rPr>
          <w:rStyle w:val="markedcontent"/>
          <w:rFonts w:ascii="Garamond" w:hAnsi="Garamond"/>
          <w:sz w:val="28"/>
          <w:szCs w:val="28"/>
        </w:rPr>
        <w:t xml:space="preserve"> </w:t>
      </w:r>
      <w:r w:rsidRPr="0085008C">
        <w:rPr>
          <w:rStyle w:val="markedcontent"/>
          <w:rFonts w:ascii="Garamond" w:hAnsi="Garamond"/>
          <w:sz w:val="28"/>
          <w:szCs w:val="28"/>
        </w:rPr>
        <w:t>Amministrazione</w:t>
      </w:r>
      <w:proofErr w:type="gramEnd"/>
      <w:r w:rsidRPr="0085008C">
        <w:rPr>
          <w:rStyle w:val="markedcontent"/>
          <w:rFonts w:ascii="Garamond" w:hAnsi="Garamond"/>
          <w:sz w:val="28"/>
          <w:szCs w:val="28"/>
        </w:rPr>
        <w:t xml:space="preserve"> dell’Ateneo, in data 23 dicembre 2021, ha approvato all’unanimità il</w:t>
      </w:r>
      <w:r>
        <w:rPr>
          <w:rStyle w:val="markedcontent"/>
          <w:rFonts w:ascii="Garamond" w:hAnsi="Garamond"/>
          <w:sz w:val="28"/>
          <w:szCs w:val="28"/>
        </w:rPr>
        <w:t xml:space="preserve"> </w:t>
      </w:r>
      <w:r w:rsidRPr="0085008C">
        <w:rPr>
          <w:rStyle w:val="markedcontent"/>
          <w:rFonts w:ascii="Garamond" w:hAnsi="Garamond"/>
          <w:sz w:val="28"/>
          <w:szCs w:val="28"/>
        </w:rPr>
        <w:t>“Regolamento per la segnalazione di condotte illecite e per la tutela del personale che</w:t>
      </w:r>
      <w:r>
        <w:rPr>
          <w:rStyle w:val="markedcontent"/>
          <w:rFonts w:ascii="Garamond" w:hAnsi="Garamond"/>
          <w:sz w:val="28"/>
          <w:szCs w:val="28"/>
        </w:rPr>
        <w:t xml:space="preserve"> </w:t>
      </w:r>
      <w:r w:rsidRPr="0085008C">
        <w:rPr>
          <w:rStyle w:val="markedcontent"/>
          <w:rFonts w:ascii="Garamond" w:hAnsi="Garamond"/>
          <w:sz w:val="28"/>
          <w:szCs w:val="28"/>
        </w:rPr>
        <w:t>segnala condotte illecite”</w:t>
      </w:r>
    </w:p>
    <w:p w14:paraId="46593384" w14:textId="77777777" w:rsidR="0085008C" w:rsidRDefault="0085008C" w:rsidP="007F367B">
      <w:pPr>
        <w:spacing w:after="0" w:line="240" w:lineRule="auto"/>
        <w:jc w:val="both"/>
        <w:rPr>
          <w:rStyle w:val="markedcontent"/>
          <w:rFonts w:ascii="Garamond" w:hAnsi="Garamond"/>
          <w:b/>
          <w:sz w:val="28"/>
          <w:szCs w:val="28"/>
          <w:u w:val="single"/>
        </w:rPr>
      </w:pPr>
    </w:p>
    <w:p w14:paraId="671A2E69" w14:textId="77777777" w:rsidR="0085008C" w:rsidRDefault="0085008C" w:rsidP="007F367B">
      <w:pPr>
        <w:spacing w:after="0" w:line="240" w:lineRule="auto"/>
        <w:jc w:val="both"/>
        <w:rPr>
          <w:rStyle w:val="markedcontent"/>
          <w:rFonts w:ascii="Garamond" w:hAnsi="Garamond"/>
          <w:b/>
          <w:sz w:val="28"/>
          <w:szCs w:val="28"/>
          <w:u w:val="single"/>
        </w:rPr>
      </w:pPr>
      <w:r>
        <w:rPr>
          <w:rStyle w:val="markedcontent"/>
          <w:rFonts w:ascii="Garamond" w:hAnsi="Garamond"/>
          <w:b/>
          <w:sz w:val="28"/>
          <w:szCs w:val="28"/>
          <w:u w:val="single"/>
        </w:rPr>
        <w:t>A</w:t>
      </w:r>
      <w:r w:rsidRPr="0085008C">
        <w:rPr>
          <w:rStyle w:val="markedcontent"/>
          <w:rFonts w:ascii="Garamond" w:hAnsi="Garamond"/>
          <w:b/>
          <w:sz w:val="28"/>
          <w:szCs w:val="28"/>
          <w:u w:val="single"/>
        </w:rPr>
        <w:t>zioni di sensibilizzazione e rapporto con la società civile</w:t>
      </w:r>
    </w:p>
    <w:p w14:paraId="72735BB7" w14:textId="7FA9C220" w:rsidR="0085008C" w:rsidRDefault="008C7CFB" w:rsidP="00A71885">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w:t>
      </w:r>
      <w:r w:rsidRPr="0085008C">
        <w:rPr>
          <w:rStyle w:val="markedcontent"/>
          <w:rFonts w:ascii="Garamond" w:hAnsi="Garamond"/>
          <w:sz w:val="28"/>
          <w:szCs w:val="28"/>
        </w:rPr>
        <w:t xml:space="preserve"> </w:t>
      </w:r>
      <w:r>
        <w:rPr>
          <w:rStyle w:val="markedcontent"/>
          <w:rFonts w:ascii="Garamond" w:hAnsi="Garamond"/>
          <w:sz w:val="28"/>
          <w:szCs w:val="28"/>
        </w:rPr>
        <w:t>i</w:t>
      </w:r>
      <w:r w:rsidR="0085008C" w:rsidRPr="0085008C">
        <w:rPr>
          <w:rStyle w:val="markedcontent"/>
          <w:rFonts w:ascii="Garamond" w:hAnsi="Garamond"/>
          <w:sz w:val="28"/>
          <w:szCs w:val="28"/>
        </w:rPr>
        <w:t>l Referente TAC Unità di Staff Comunicazione e Marketing Istituzionale ha attestato che</w:t>
      </w:r>
      <w:r w:rsidR="0085008C">
        <w:rPr>
          <w:rStyle w:val="markedcontent"/>
          <w:rFonts w:ascii="Garamond" w:hAnsi="Garamond"/>
          <w:sz w:val="28"/>
          <w:szCs w:val="28"/>
        </w:rPr>
        <w:t xml:space="preserve"> </w:t>
      </w:r>
      <w:r w:rsidR="00191D8E">
        <w:rPr>
          <w:rStyle w:val="markedcontent"/>
          <w:rFonts w:ascii="Garamond" w:hAnsi="Garamond"/>
          <w:sz w:val="28"/>
          <w:szCs w:val="28"/>
        </w:rPr>
        <w:t xml:space="preserve">all’URP non </w:t>
      </w:r>
      <w:r w:rsidR="0085008C" w:rsidRPr="0085008C">
        <w:rPr>
          <w:rStyle w:val="markedcontent"/>
          <w:rFonts w:ascii="Garamond" w:hAnsi="Garamond"/>
          <w:sz w:val="28"/>
          <w:szCs w:val="28"/>
        </w:rPr>
        <w:t>risulta pervenuta nessuna segnalazione.</w:t>
      </w:r>
    </w:p>
    <w:p w14:paraId="4E92790F" w14:textId="77777777" w:rsidR="00191D8E" w:rsidRPr="0085008C" w:rsidRDefault="00191D8E" w:rsidP="007F367B">
      <w:pPr>
        <w:spacing w:after="0" w:line="240" w:lineRule="auto"/>
        <w:jc w:val="both"/>
        <w:rPr>
          <w:rStyle w:val="markedcontent"/>
          <w:rFonts w:ascii="Garamond" w:hAnsi="Garamond"/>
          <w:sz w:val="28"/>
          <w:szCs w:val="28"/>
        </w:rPr>
      </w:pPr>
    </w:p>
    <w:p w14:paraId="643B1EC5" w14:textId="77777777" w:rsidR="00F31D95" w:rsidRPr="007F367B" w:rsidRDefault="00676064" w:rsidP="007F367B">
      <w:pPr>
        <w:spacing w:after="0" w:line="240" w:lineRule="auto"/>
        <w:jc w:val="both"/>
        <w:rPr>
          <w:rStyle w:val="markedcontent"/>
          <w:rFonts w:ascii="Garamond" w:hAnsi="Garamond"/>
          <w:b/>
          <w:sz w:val="28"/>
          <w:szCs w:val="28"/>
          <w:u w:val="single"/>
        </w:rPr>
      </w:pPr>
      <w:r w:rsidRPr="007F367B">
        <w:rPr>
          <w:rStyle w:val="markedcontent"/>
          <w:rFonts w:ascii="Garamond" w:hAnsi="Garamond"/>
          <w:b/>
          <w:sz w:val="28"/>
          <w:szCs w:val="28"/>
          <w:u w:val="single"/>
        </w:rPr>
        <w:t>Rapporti tra l’Ateneo e i soggetti che con esso stipulano contratti</w:t>
      </w:r>
      <w:r w:rsidR="007F367B">
        <w:rPr>
          <w:rStyle w:val="markedcontent"/>
          <w:rFonts w:ascii="Garamond" w:hAnsi="Garamond"/>
          <w:b/>
          <w:sz w:val="28"/>
          <w:szCs w:val="28"/>
          <w:u w:val="single"/>
        </w:rPr>
        <w:t xml:space="preserve"> </w:t>
      </w:r>
      <w:r w:rsidRPr="007F367B">
        <w:rPr>
          <w:rStyle w:val="markedcontent"/>
          <w:rFonts w:ascii="Garamond" w:hAnsi="Garamond"/>
          <w:b/>
          <w:sz w:val="28"/>
          <w:szCs w:val="28"/>
          <w:u w:val="single"/>
        </w:rPr>
        <w:t>pubblici</w:t>
      </w:r>
      <w:r w:rsidR="00F31D95" w:rsidRPr="007F367B">
        <w:rPr>
          <w:rStyle w:val="markedcontent"/>
          <w:rFonts w:ascii="Garamond" w:hAnsi="Garamond"/>
          <w:b/>
          <w:sz w:val="28"/>
          <w:szCs w:val="28"/>
          <w:u w:val="single"/>
        </w:rPr>
        <w:t xml:space="preserve"> </w:t>
      </w:r>
    </w:p>
    <w:p w14:paraId="4B18621A" w14:textId="6200F681" w:rsidR="00A71885" w:rsidRDefault="008C7CFB" w:rsidP="008C7CFB">
      <w:pPr>
        <w:spacing w:after="0" w:line="276" w:lineRule="auto"/>
        <w:jc w:val="both"/>
        <w:rPr>
          <w:rStyle w:val="markedcontent"/>
          <w:rFonts w:ascii="Garamond" w:hAnsi="Garamond"/>
          <w:sz w:val="28"/>
          <w:szCs w:val="28"/>
        </w:rPr>
      </w:pPr>
      <w:r>
        <w:rPr>
          <w:rStyle w:val="markedcontent"/>
          <w:rFonts w:ascii="Garamond" w:hAnsi="Garamond"/>
          <w:sz w:val="28"/>
          <w:szCs w:val="28"/>
        </w:rPr>
        <w:t>Relativamente al monitoraggio</w:t>
      </w:r>
      <w:r w:rsidRPr="00A71885">
        <w:rPr>
          <w:rStyle w:val="markedcontent"/>
          <w:rFonts w:ascii="Garamond" w:hAnsi="Garamond"/>
          <w:sz w:val="28"/>
          <w:szCs w:val="28"/>
        </w:rPr>
        <w:t xml:space="preserve"> </w:t>
      </w:r>
      <w:r w:rsidR="00A71885" w:rsidRPr="00A71885">
        <w:rPr>
          <w:rStyle w:val="markedcontent"/>
          <w:rFonts w:ascii="Garamond" w:hAnsi="Garamond"/>
          <w:sz w:val="28"/>
          <w:szCs w:val="28"/>
        </w:rPr>
        <w:t>il Referente TAC del Centro Servizi Amministrativi e contabili di Ateneo ha attestato che</w:t>
      </w:r>
      <w:r w:rsidR="0027600A">
        <w:rPr>
          <w:rStyle w:val="markedcontent"/>
          <w:rFonts w:ascii="Garamond" w:hAnsi="Garamond"/>
          <w:sz w:val="28"/>
          <w:szCs w:val="28"/>
        </w:rPr>
        <w:t>:</w:t>
      </w:r>
    </w:p>
    <w:p w14:paraId="017866ED" w14:textId="2CC6E37A" w:rsidR="00A71885" w:rsidRDefault="00A71885" w:rsidP="0027600A">
      <w:pPr>
        <w:pStyle w:val="Paragrafoelenco"/>
        <w:numPr>
          <w:ilvl w:val="0"/>
          <w:numId w:val="5"/>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lastRenderedPageBreak/>
        <w:t>negli avvisi, nei bandi di gara e nelle lettere di invito è prevista la clausola di</w:t>
      </w:r>
      <w:r>
        <w:rPr>
          <w:rStyle w:val="markedcontent"/>
          <w:rFonts w:ascii="Garamond" w:hAnsi="Garamond"/>
          <w:sz w:val="28"/>
          <w:szCs w:val="28"/>
        </w:rPr>
        <w:t xml:space="preserve"> </w:t>
      </w:r>
      <w:r w:rsidRPr="00A71885">
        <w:rPr>
          <w:rStyle w:val="markedcontent"/>
          <w:rFonts w:ascii="Garamond" w:hAnsi="Garamond"/>
          <w:sz w:val="28"/>
          <w:szCs w:val="28"/>
        </w:rPr>
        <w:t>salvaguardia ed è specificato che il mancato rispetto del patto di integrità dà</w:t>
      </w:r>
      <w:r>
        <w:rPr>
          <w:rStyle w:val="markedcontent"/>
          <w:rFonts w:ascii="Garamond" w:hAnsi="Garamond"/>
          <w:sz w:val="28"/>
          <w:szCs w:val="28"/>
        </w:rPr>
        <w:t xml:space="preserve"> </w:t>
      </w:r>
      <w:r w:rsidRPr="00A71885">
        <w:rPr>
          <w:rStyle w:val="markedcontent"/>
          <w:rFonts w:ascii="Garamond" w:hAnsi="Garamond"/>
          <w:sz w:val="28"/>
          <w:szCs w:val="28"/>
        </w:rPr>
        <w:t>luogo all’esclusione dalla gara e</w:t>
      </w:r>
      <w:r w:rsidR="008C7CFB">
        <w:rPr>
          <w:rStyle w:val="markedcontent"/>
          <w:rFonts w:ascii="Garamond" w:hAnsi="Garamond"/>
          <w:sz w:val="28"/>
          <w:szCs w:val="28"/>
        </w:rPr>
        <w:t xml:space="preserve"> alla risoluzione del contratto</w:t>
      </w:r>
    </w:p>
    <w:p w14:paraId="03113FA8" w14:textId="339CCC5E" w:rsidR="00A71885" w:rsidRDefault="00A71885" w:rsidP="0027600A">
      <w:pPr>
        <w:pStyle w:val="Paragrafoelenco"/>
        <w:numPr>
          <w:ilvl w:val="0"/>
          <w:numId w:val="5"/>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si è proceduto al controllo della sottoscrizione dei patti d’integrità, da parte degli</w:t>
      </w:r>
      <w:r>
        <w:rPr>
          <w:rStyle w:val="markedcontent"/>
          <w:rFonts w:ascii="Garamond" w:hAnsi="Garamond"/>
          <w:sz w:val="28"/>
          <w:szCs w:val="28"/>
        </w:rPr>
        <w:t xml:space="preserve"> </w:t>
      </w:r>
      <w:r w:rsidR="008C7CFB">
        <w:rPr>
          <w:rStyle w:val="markedcontent"/>
          <w:rFonts w:ascii="Garamond" w:hAnsi="Garamond"/>
          <w:sz w:val="28"/>
          <w:szCs w:val="28"/>
        </w:rPr>
        <w:t>operatori economici</w:t>
      </w:r>
    </w:p>
    <w:p w14:paraId="47C3D44B" w14:textId="6281F62F" w:rsidR="00A71885" w:rsidRDefault="00A71885" w:rsidP="0027600A">
      <w:pPr>
        <w:pStyle w:val="Paragrafoelenco"/>
        <w:numPr>
          <w:ilvl w:val="0"/>
          <w:numId w:val="5"/>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non è stata acquisita la dichiarazione dei soggetti esterni contraenti o interessati</w:t>
      </w:r>
      <w:r>
        <w:rPr>
          <w:rStyle w:val="markedcontent"/>
          <w:rFonts w:ascii="Garamond" w:hAnsi="Garamond"/>
          <w:sz w:val="28"/>
          <w:szCs w:val="28"/>
        </w:rPr>
        <w:t xml:space="preserve"> </w:t>
      </w:r>
      <w:r w:rsidRPr="00A71885">
        <w:rPr>
          <w:rStyle w:val="markedcontent"/>
          <w:rFonts w:ascii="Garamond" w:hAnsi="Garamond"/>
          <w:sz w:val="28"/>
          <w:szCs w:val="28"/>
        </w:rPr>
        <w:t>ai relativi provvedimenti circa la sussistenza o meno di rapporti di parentela,</w:t>
      </w:r>
      <w:r>
        <w:rPr>
          <w:rStyle w:val="markedcontent"/>
          <w:rFonts w:ascii="Garamond" w:hAnsi="Garamond"/>
          <w:sz w:val="28"/>
          <w:szCs w:val="28"/>
        </w:rPr>
        <w:t xml:space="preserve"> </w:t>
      </w:r>
      <w:r w:rsidRPr="00A71885">
        <w:rPr>
          <w:rStyle w:val="markedcontent"/>
          <w:rFonts w:ascii="Garamond" w:hAnsi="Garamond"/>
          <w:sz w:val="28"/>
          <w:szCs w:val="28"/>
        </w:rPr>
        <w:t>coniugio o affinità tra i titolari, gli amministratori, i soci e i dipendenti degli stessi</w:t>
      </w:r>
      <w:r>
        <w:rPr>
          <w:rStyle w:val="markedcontent"/>
          <w:rFonts w:ascii="Garamond" w:hAnsi="Garamond"/>
          <w:sz w:val="28"/>
          <w:szCs w:val="28"/>
        </w:rPr>
        <w:t xml:space="preserve"> </w:t>
      </w:r>
      <w:r w:rsidRPr="00A71885">
        <w:rPr>
          <w:rStyle w:val="markedcontent"/>
          <w:rFonts w:ascii="Garamond" w:hAnsi="Garamond"/>
          <w:sz w:val="28"/>
          <w:szCs w:val="28"/>
        </w:rPr>
        <w:t>soggetti e i dipendenti dell’Ateneo e i Componenti degli Organi di Ateneo in</w:t>
      </w:r>
      <w:r>
        <w:rPr>
          <w:rStyle w:val="markedcontent"/>
          <w:rFonts w:ascii="Garamond" w:hAnsi="Garamond"/>
          <w:sz w:val="28"/>
          <w:szCs w:val="28"/>
        </w:rPr>
        <w:t xml:space="preserve"> </w:t>
      </w:r>
      <w:r w:rsidR="008C7CFB">
        <w:rPr>
          <w:rStyle w:val="markedcontent"/>
          <w:rFonts w:ascii="Garamond" w:hAnsi="Garamond"/>
          <w:sz w:val="28"/>
          <w:szCs w:val="28"/>
        </w:rPr>
        <w:t>quanto in corso di adeguamento</w:t>
      </w:r>
    </w:p>
    <w:p w14:paraId="3EB4126E" w14:textId="2654132B" w:rsidR="00A71885" w:rsidRDefault="00A71885" w:rsidP="0027600A">
      <w:pPr>
        <w:pStyle w:val="Paragrafoelenco"/>
        <w:numPr>
          <w:ilvl w:val="0"/>
          <w:numId w:val="5"/>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non è stato necessario attivare azioni di tutela in quanto non ci sono state</w:t>
      </w:r>
      <w:r>
        <w:rPr>
          <w:rStyle w:val="markedcontent"/>
          <w:rFonts w:ascii="Garamond" w:hAnsi="Garamond"/>
          <w:sz w:val="28"/>
          <w:szCs w:val="28"/>
        </w:rPr>
        <w:t xml:space="preserve"> </w:t>
      </w:r>
      <w:r w:rsidRPr="00A71885">
        <w:rPr>
          <w:rStyle w:val="markedcontent"/>
          <w:rFonts w:ascii="Garamond" w:hAnsi="Garamond"/>
          <w:sz w:val="28"/>
          <w:szCs w:val="28"/>
        </w:rPr>
        <w:t>seg</w:t>
      </w:r>
      <w:r w:rsidR="008C7CFB">
        <w:rPr>
          <w:rStyle w:val="markedcontent"/>
          <w:rFonts w:ascii="Garamond" w:hAnsi="Garamond"/>
          <w:sz w:val="28"/>
          <w:szCs w:val="28"/>
        </w:rPr>
        <w:t>nalazione</w:t>
      </w:r>
    </w:p>
    <w:p w14:paraId="1D33D4A3" w14:textId="77777777" w:rsidR="00A71885" w:rsidRDefault="00A71885" w:rsidP="0027600A">
      <w:pPr>
        <w:pStyle w:val="Paragrafoelenco"/>
        <w:numPr>
          <w:ilvl w:val="0"/>
          <w:numId w:val="5"/>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non si è provveduto all’aggiornamento del fac-simile del patto di integrità</w:t>
      </w:r>
      <w:r>
        <w:rPr>
          <w:rStyle w:val="markedcontent"/>
          <w:rFonts w:ascii="Garamond" w:hAnsi="Garamond"/>
          <w:sz w:val="28"/>
          <w:szCs w:val="28"/>
        </w:rPr>
        <w:t xml:space="preserve"> </w:t>
      </w:r>
      <w:r w:rsidRPr="00A71885">
        <w:rPr>
          <w:rStyle w:val="markedcontent"/>
          <w:rFonts w:ascii="Garamond" w:hAnsi="Garamond"/>
          <w:sz w:val="28"/>
          <w:szCs w:val="28"/>
        </w:rPr>
        <w:t>adottato dall’Ateneo nel 2015 con l’inserimento di specifiche clausole inerenti al</w:t>
      </w:r>
      <w:r>
        <w:rPr>
          <w:rStyle w:val="markedcontent"/>
          <w:rFonts w:ascii="Garamond" w:hAnsi="Garamond"/>
          <w:sz w:val="28"/>
          <w:szCs w:val="28"/>
        </w:rPr>
        <w:t xml:space="preserve"> </w:t>
      </w:r>
      <w:r w:rsidRPr="00A71885">
        <w:rPr>
          <w:rStyle w:val="markedcontent"/>
          <w:rFonts w:ascii="Garamond" w:hAnsi="Garamond"/>
          <w:sz w:val="28"/>
          <w:szCs w:val="28"/>
        </w:rPr>
        <w:t>rispetto della disciplina sul conflitto di interessi e sul pantouflage in quanto la</w:t>
      </w:r>
      <w:r>
        <w:rPr>
          <w:rStyle w:val="markedcontent"/>
          <w:rFonts w:ascii="Garamond" w:hAnsi="Garamond"/>
          <w:sz w:val="28"/>
          <w:szCs w:val="28"/>
        </w:rPr>
        <w:t xml:space="preserve"> </w:t>
      </w:r>
      <w:r w:rsidRPr="00A71885">
        <w:rPr>
          <w:rStyle w:val="markedcontent"/>
          <w:rFonts w:ascii="Garamond" w:hAnsi="Garamond"/>
          <w:sz w:val="28"/>
          <w:szCs w:val="28"/>
        </w:rPr>
        <w:t>clausola è inserita in altro fac-simile di dichiarazioni che l’operatore economico</w:t>
      </w:r>
      <w:r>
        <w:rPr>
          <w:rStyle w:val="markedcontent"/>
          <w:rFonts w:ascii="Garamond" w:hAnsi="Garamond"/>
          <w:sz w:val="28"/>
          <w:szCs w:val="28"/>
        </w:rPr>
        <w:t xml:space="preserve"> </w:t>
      </w:r>
      <w:r w:rsidRPr="00A71885">
        <w:rPr>
          <w:rStyle w:val="markedcontent"/>
          <w:rFonts w:ascii="Garamond" w:hAnsi="Garamond"/>
          <w:sz w:val="28"/>
          <w:szCs w:val="28"/>
        </w:rPr>
        <w:t>deve produrre;</w:t>
      </w:r>
      <w:r>
        <w:rPr>
          <w:rStyle w:val="markedcontent"/>
          <w:rFonts w:ascii="Garamond" w:hAnsi="Garamond"/>
          <w:sz w:val="28"/>
          <w:szCs w:val="28"/>
        </w:rPr>
        <w:t xml:space="preserve"> </w:t>
      </w:r>
    </w:p>
    <w:p w14:paraId="68714069" w14:textId="77777777" w:rsidR="00A71885" w:rsidRPr="00A71885" w:rsidRDefault="00A71885" w:rsidP="0027600A">
      <w:pPr>
        <w:pStyle w:val="Paragrafoelenco"/>
        <w:numPr>
          <w:ilvl w:val="0"/>
          <w:numId w:val="5"/>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non si è provveduto all’aggiornamento del Patto di Integrità.</w:t>
      </w:r>
    </w:p>
    <w:p w14:paraId="5BC0FC1F" w14:textId="4992A1B1" w:rsidR="00A71885" w:rsidRDefault="008C7CFB" w:rsidP="0027600A">
      <w:pPr>
        <w:spacing w:after="0" w:line="276" w:lineRule="auto"/>
        <w:jc w:val="both"/>
        <w:rPr>
          <w:rStyle w:val="markedcontent"/>
          <w:rFonts w:ascii="Garamond" w:hAnsi="Garamond"/>
          <w:sz w:val="28"/>
          <w:szCs w:val="28"/>
        </w:rPr>
      </w:pPr>
      <w:r>
        <w:rPr>
          <w:rStyle w:val="markedcontent"/>
          <w:rFonts w:ascii="Garamond" w:hAnsi="Garamond"/>
          <w:sz w:val="28"/>
          <w:szCs w:val="28"/>
        </w:rPr>
        <w:t>I</w:t>
      </w:r>
      <w:r w:rsidR="00A71885" w:rsidRPr="00A71885">
        <w:rPr>
          <w:rStyle w:val="markedcontent"/>
          <w:rFonts w:ascii="Garamond" w:hAnsi="Garamond"/>
          <w:sz w:val="28"/>
          <w:szCs w:val="28"/>
        </w:rPr>
        <w:t>l Referente TAC del Settore Servizi Tecnici ha attestato che</w:t>
      </w:r>
      <w:r w:rsidR="0027600A">
        <w:rPr>
          <w:rStyle w:val="markedcontent"/>
          <w:rFonts w:ascii="Garamond" w:hAnsi="Garamond"/>
          <w:sz w:val="28"/>
          <w:szCs w:val="28"/>
        </w:rPr>
        <w:t>:</w:t>
      </w:r>
      <w:r w:rsidR="00A71885" w:rsidRPr="00A71885">
        <w:rPr>
          <w:rStyle w:val="markedcontent"/>
          <w:rFonts w:ascii="Garamond" w:hAnsi="Garamond"/>
          <w:sz w:val="28"/>
          <w:szCs w:val="28"/>
        </w:rPr>
        <w:t xml:space="preserve"> </w:t>
      </w:r>
    </w:p>
    <w:p w14:paraId="15951465" w14:textId="1220C397" w:rsidR="00A71885" w:rsidRDefault="00A71885" w:rsidP="0027600A">
      <w:pPr>
        <w:pStyle w:val="Paragrafoelenco"/>
        <w:numPr>
          <w:ilvl w:val="0"/>
          <w:numId w:val="5"/>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negli avvisi, nei bandi di gara e nelle lettere di invito è prevista la clausola di</w:t>
      </w:r>
      <w:r>
        <w:rPr>
          <w:rStyle w:val="markedcontent"/>
          <w:rFonts w:ascii="Garamond" w:hAnsi="Garamond"/>
          <w:sz w:val="28"/>
          <w:szCs w:val="28"/>
        </w:rPr>
        <w:t xml:space="preserve"> </w:t>
      </w:r>
      <w:r w:rsidRPr="00A71885">
        <w:rPr>
          <w:rStyle w:val="markedcontent"/>
          <w:rFonts w:ascii="Garamond" w:hAnsi="Garamond"/>
          <w:sz w:val="28"/>
          <w:szCs w:val="28"/>
        </w:rPr>
        <w:t>salvaguardia ed è specificato che il mancato rispetto del patto di integrità dà</w:t>
      </w:r>
      <w:r>
        <w:rPr>
          <w:rStyle w:val="markedcontent"/>
          <w:rFonts w:ascii="Garamond" w:hAnsi="Garamond"/>
          <w:sz w:val="28"/>
          <w:szCs w:val="28"/>
        </w:rPr>
        <w:t xml:space="preserve"> </w:t>
      </w:r>
      <w:r w:rsidRPr="00A71885">
        <w:rPr>
          <w:rStyle w:val="markedcontent"/>
          <w:rFonts w:ascii="Garamond" w:hAnsi="Garamond"/>
          <w:sz w:val="28"/>
          <w:szCs w:val="28"/>
        </w:rPr>
        <w:t>luogo all’esclusione dalla gara e</w:t>
      </w:r>
      <w:r w:rsidR="008C7CFB">
        <w:rPr>
          <w:rStyle w:val="markedcontent"/>
          <w:rFonts w:ascii="Garamond" w:hAnsi="Garamond"/>
          <w:sz w:val="28"/>
          <w:szCs w:val="28"/>
        </w:rPr>
        <w:t xml:space="preserve"> alla risoluzione del contratto</w:t>
      </w:r>
    </w:p>
    <w:p w14:paraId="133C2615" w14:textId="267461BA" w:rsidR="00A71885" w:rsidRDefault="00A71885" w:rsidP="0027600A">
      <w:pPr>
        <w:pStyle w:val="Paragrafoelenco"/>
        <w:numPr>
          <w:ilvl w:val="0"/>
          <w:numId w:val="5"/>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è stata acquisita la dichiarazione dei soggetti esterni contraenti o interessati ai</w:t>
      </w:r>
      <w:r>
        <w:rPr>
          <w:rStyle w:val="markedcontent"/>
          <w:rFonts w:ascii="Garamond" w:hAnsi="Garamond"/>
          <w:sz w:val="28"/>
          <w:szCs w:val="28"/>
        </w:rPr>
        <w:t xml:space="preserve"> </w:t>
      </w:r>
      <w:r w:rsidRPr="00A71885">
        <w:rPr>
          <w:rStyle w:val="markedcontent"/>
          <w:rFonts w:ascii="Garamond" w:hAnsi="Garamond"/>
          <w:sz w:val="28"/>
          <w:szCs w:val="28"/>
        </w:rPr>
        <w:t>relativi provvedimenti circa la sussistenza o meno di rapporti di parentela,</w:t>
      </w:r>
      <w:r>
        <w:rPr>
          <w:rStyle w:val="markedcontent"/>
          <w:rFonts w:ascii="Garamond" w:hAnsi="Garamond"/>
          <w:sz w:val="28"/>
          <w:szCs w:val="28"/>
        </w:rPr>
        <w:t xml:space="preserve"> </w:t>
      </w:r>
      <w:r w:rsidRPr="00A71885">
        <w:rPr>
          <w:rStyle w:val="markedcontent"/>
          <w:rFonts w:ascii="Garamond" w:hAnsi="Garamond"/>
          <w:sz w:val="28"/>
          <w:szCs w:val="28"/>
        </w:rPr>
        <w:t>coniugio o affinità tra i titolari, gli amministratori, i soci e i dipendenti degli stessi</w:t>
      </w:r>
      <w:r>
        <w:rPr>
          <w:rStyle w:val="markedcontent"/>
          <w:rFonts w:ascii="Garamond" w:hAnsi="Garamond"/>
          <w:sz w:val="28"/>
          <w:szCs w:val="28"/>
        </w:rPr>
        <w:t xml:space="preserve"> </w:t>
      </w:r>
      <w:r w:rsidRPr="00A71885">
        <w:rPr>
          <w:rStyle w:val="markedcontent"/>
          <w:rFonts w:ascii="Garamond" w:hAnsi="Garamond"/>
          <w:sz w:val="28"/>
          <w:szCs w:val="28"/>
        </w:rPr>
        <w:t>soggetti e i dipendenti dell’Ateneo e i Componenti degli Orga</w:t>
      </w:r>
      <w:r w:rsidR="008C7CFB">
        <w:rPr>
          <w:rStyle w:val="markedcontent"/>
          <w:rFonts w:ascii="Garamond" w:hAnsi="Garamond"/>
          <w:sz w:val="28"/>
          <w:szCs w:val="28"/>
        </w:rPr>
        <w:t>ni di Ateneo</w:t>
      </w:r>
    </w:p>
    <w:p w14:paraId="058DC0BC" w14:textId="2A6B9D18" w:rsidR="00A71885" w:rsidRDefault="00A71885" w:rsidP="0027600A">
      <w:pPr>
        <w:pStyle w:val="Paragrafoelenco"/>
        <w:numPr>
          <w:ilvl w:val="0"/>
          <w:numId w:val="5"/>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non è stato necessario attivare azioni di tutela in quanto non ci sono state</w:t>
      </w:r>
      <w:r>
        <w:rPr>
          <w:rStyle w:val="markedcontent"/>
          <w:rFonts w:ascii="Garamond" w:hAnsi="Garamond"/>
          <w:sz w:val="28"/>
          <w:szCs w:val="28"/>
        </w:rPr>
        <w:t xml:space="preserve"> </w:t>
      </w:r>
      <w:r w:rsidR="008C7CFB">
        <w:rPr>
          <w:rStyle w:val="markedcontent"/>
          <w:rFonts w:ascii="Garamond" w:hAnsi="Garamond"/>
          <w:sz w:val="28"/>
          <w:szCs w:val="28"/>
        </w:rPr>
        <w:t>segnalazione</w:t>
      </w:r>
    </w:p>
    <w:p w14:paraId="2A279C41" w14:textId="77777777" w:rsidR="00A71885" w:rsidRDefault="00A71885" w:rsidP="0027600A">
      <w:pPr>
        <w:pStyle w:val="Paragrafoelenco"/>
        <w:numPr>
          <w:ilvl w:val="0"/>
          <w:numId w:val="5"/>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si è proceduto al controllo della sottoscrizione dei patti d’integrità, da parte degli</w:t>
      </w:r>
      <w:r>
        <w:rPr>
          <w:rStyle w:val="markedcontent"/>
          <w:rFonts w:ascii="Garamond" w:hAnsi="Garamond"/>
          <w:sz w:val="28"/>
          <w:szCs w:val="28"/>
        </w:rPr>
        <w:t xml:space="preserve"> </w:t>
      </w:r>
      <w:r w:rsidRPr="00A71885">
        <w:rPr>
          <w:rStyle w:val="markedcontent"/>
          <w:rFonts w:ascii="Garamond" w:hAnsi="Garamond"/>
          <w:sz w:val="28"/>
          <w:szCs w:val="28"/>
        </w:rPr>
        <w:t>operatori economici</w:t>
      </w:r>
      <w:r>
        <w:rPr>
          <w:rStyle w:val="markedcontent"/>
          <w:rFonts w:ascii="Garamond" w:hAnsi="Garamond"/>
          <w:sz w:val="28"/>
          <w:szCs w:val="28"/>
        </w:rPr>
        <w:t xml:space="preserve"> </w:t>
      </w:r>
    </w:p>
    <w:p w14:paraId="4CA226AE" w14:textId="77777777" w:rsidR="00A71885" w:rsidRDefault="00A71885" w:rsidP="0027600A">
      <w:pPr>
        <w:pStyle w:val="Paragrafoelenco"/>
        <w:numPr>
          <w:ilvl w:val="0"/>
          <w:numId w:val="5"/>
        </w:numPr>
        <w:spacing w:after="0" w:line="276" w:lineRule="auto"/>
        <w:jc w:val="both"/>
        <w:rPr>
          <w:rStyle w:val="markedcontent"/>
          <w:rFonts w:ascii="Garamond" w:hAnsi="Garamond"/>
          <w:sz w:val="28"/>
          <w:szCs w:val="28"/>
        </w:rPr>
      </w:pPr>
      <w:r w:rsidRPr="00A71885">
        <w:rPr>
          <w:rStyle w:val="markedcontent"/>
          <w:rFonts w:ascii="Garamond" w:hAnsi="Garamond"/>
          <w:sz w:val="28"/>
          <w:szCs w:val="28"/>
        </w:rPr>
        <w:t>non si è provveduto all’aggiornamento del fac-simile del patto di integrità</w:t>
      </w:r>
      <w:r>
        <w:rPr>
          <w:rStyle w:val="markedcontent"/>
          <w:rFonts w:ascii="Garamond" w:hAnsi="Garamond"/>
          <w:sz w:val="28"/>
          <w:szCs w:val="28"/>
        </w:rPr>
        <w:t xml:space="preserve"> </w:t>
      </w:r>
      <w:r w:rsidRPr="00A71885">
        <w:rPr>
          <w:rStyle w:val="markedcontent"/>
          <w:rFonts w:ascii="Garamond" w:hAnsi="Garamond"/>
          <w:sz w:val="28"/>
          <w:szCs w:val="28"/>
        </w:rPr>
        <w:t>adottato dall’Ateneo nel 2015 con l’inserimento di specifiche clausole inerenti al</w:t>
      </w:r>
      <w:r>
        <w:rPr>
          <w:rStyle w:val="markedcontent"/>
          <w:rFonts w:ascii="Garamond" w:hAnsi="Garamond"/>
          <w:sz w:val="28"/>
          <w:szCs w:val="28"/>
        </w:rPr>
        <w:t xml:space="preserve"> </w:t>
      </w:r>
      <w:r w:rsidRPr="00A71885">
        <w:rPr>
          <w:rStyle w:val="markedcontent"/>
          <w:rFonts w:ascii="Garamond" w:hAnsi="Garamond"/>
          <w:sz w:val="28"/>
          <w:szCs w:val="28"/>
        </w:rPr>
        <w:t>rispetto della disciplina sul conflitto di interessi e sul pantouflage ma si sta</w:t>
      </w:r>
      <w:r>
        <w:rPr>
          <w:rStyle w:val="markedcontent"/>
          <w:rFonts w:ascii="Garamond" w:hAnsi="Garamond"/>
          <w:sz w:val="28"/>
          <w:szCs w:val="28"/>
        </w:rPr>
        <w:t xml:space="preserve"> </w:t>
      </w:r>
      <w:r w:rsidRPr="00A71885">
        <w:rPr>
          <w:rStyle w:val="markedcontent"/>
          <w:rFonts w:ascii="Garamond" w:hAnsi="Garamond"/>
          <w:sz w:val="28"/>
          <w:szCs w:val="28"/>
        </w:rPr>
        <w:t>provvedendo all’aggiornamento unitamente agli altri uffici del Politecnico</w:t>
      </w:r>
      <w:r>
        <w:rPr>
          <w:rStyle w:val="markedcontent"/>
          <w:rFonts w:ascii="Garamond" w:hAnsi="Garamond"/>
          <w:sz w:val="28"/>
          <w:szCs w:val="28"/>
        </w:rPr>
        <w:t xml:space="preserve"> </w:t>
      </w:r>
      <w:r w:rsidRPr="00A71885">
        <w:rPr>
          <w:rStyle w:val="markedcontent"/>
          <w:rFonts w:ascii="Garamond" w:hAnsi="Garamond"/>
          <w:sz w:val="28"/>
          <w:szCs w:val="28"/>
        </w:rPr>
        <w:t>interessati.</w:t>
      </w:r>
    </w:p>
    <w:p w14:paraId="03B2BC7A" w14:textId="77777777" w:rsidR="00AB3891" w:rsidRDefault="00A71885" w:rsidP="0027600A">
      <w:pPr>
        <w:spacing w:after="0" w:line="276" w:lineRule="auto"/>
        <w:jc w:val="both"/>
        <w:rPr>
          <w:rStyle w:val="markedcontent"/>
          <w:rFonts w:ascii="Garamond" w:hAnsi="Garamond"/>
          <w:sz w:val="28"/>
          <w:szCs w:val="28"/>
        </w:rPr>
      </w:pPr>
      <w:r w:rsidRPr="00A71885">
        <w:rPr>
          <w:rStyle w:val="markedcontent"/>
          <w:rFonts w:ascii="Garamond" w:hAnsi="Garamond"/>
          <w:sz w:val="28"/>
          <w:szCs w:val="28"/>
        </w:rPr>
        <w:t>Non sono pervenute al RPCT segnalazioni relative alla violazione dell’obbligo e a casi di</w:t>
      </w:r>
      <w:r>
        <w:rPr>
          <w:rStyle w:val="markedcontent"/>
          <w:rFonts w:ascii="Garamond" w:hAnsi="Garamond"/>
          <w:sz w:val="28"/>
          <w:szCs w:val="28"/>
        </w:rPr>
        <w:t xml:space="preserve"> </w:t>
      </w:r>
      <w:r w:rsidRPr="00A71885">
        <w:rPr>
          <w:rStyle w:val="markedcontent"/>
          <w:rFonts w:ascii="Garamond" w:hAnsi="Garamond"/>
          <w:sz w:val="28"/>
          <w:szCs w:val="28"/>
        </w:rPr>
        <w:t>attivazione delle azioni di tutela previste nei patti di integrità.</w:t>
      </w:r>
    </w:p>
    <w:p w14:paraId="7AF550EF" w14:textId="77777777" w:rsidR="00456E9B" w:rsidRDefault="00456E9B" w:rsidP="0027600A">
      <w:pPr>
        <w:spacing w:after="0" w:line="276" w:lineRule="auto"/>
        <w:jc w:val="both"/>
        <w:rPr>
          <w:rStyle w:val="markedcontent"/>
          <w:rFonts w:ascii="Garamond" w:hAnsi="Garamond"/>
          <w:sz w:val="28"/>
          <w:szCs w:val="28"/>
        </w:rPr>
      </w:pPr>
    </w:p>
    <w:p w14:paraId="302EDF01" w14:textId="108C0869" w:rsidR="00456E9B" w:rsidRDefault="00BD1719" w:rsidP="0027600A">
      <w:pPr>
        <w:spacing w:after="0" w:line="276" w:lineRule="auto"/>
        <w:jc w:val="both"/>
        <w:rPr>
          <w:rStyle w:val="markedcontent"/>
          <w:rFonts w:ascii="Garamond" w:hAnsi="Garamond"/>
          <w:sz w:val="28"/>
          <w:szCs w:val="28"/>
        </w:rPr>
      </w:pPr>
      <w:r w:rsidRPr="00976D65">
        <w:rPr>
          <w:rStyle w:val="markedcontent"/>
          <w:rFonts w:ascii="Garamond" w:hAnsi="Garamond"/>
          <w:sz w:val="28"/>
          <w:szCs w:val="28"/>
        </w:rPr>
        <w:t xml:space="preserve">Bari, </w:t>
      </w:r>
      <w:r w:rsidR="00976D65" w:rsidRPr="00976D65">
        <w:rPr>
          <w:rStyle w:val="markedcontent"/>
          <w:rFonts w:ascii="Garamond" w:hAnsi="Garamond"/>
          <w:sz w:val="28"/>
          <w:szCs w:val="28"/>
        </w:rPr>
        <w:t xml:space="preserve">28 aprile </w:t>
      </w:r>
      <w:r w:rsidRPr="00976D65">
        <w:rPr>
          <w:rStyle w:val="markedcontent"/>
          <w:rFonts w:ascii="Garamond" w:hAnsi="Garamond"/>
          <w:sz w:val="28"/>
          <w:szCs w:val="28"/>
        </w:rPr>
        <w:t>202</w:t>
      </w:r>
      <w:r w:rsidR="00976D65" w:rsidRPr="00976D65">
        <w:rPr>
          <w:rStyle w:val="markedcontent"/>
          <w:rFonts w:ascii="Garamond" w:hAnsi="Garamond"/>
          <w:sz w:val="28"/>
          <w:szCs w:val="28"/>
        </w:rPr>
        <w:t>2</w:t>
      </w:r>
    </w:p>
    <w:p w14:paraId="112DFEB6" w14:textId="77777777" w:rsidR="00456E9B" w:rsidRDefault="00456E9B" w:rsidP="0027600A">
      <w:pPr>
        <w:spacing w:after="0" w:line="276" w:lineRule="auto"/>
        <w:jc w:val="both"/>
        <w:rPr>
          <w:rStyle w:val="markedcontent"/>
          <w:rFonts w:ascii="Garamond" w:hAnsi="Garamond"/>
          <w:sz w:val="28"/>
          <w:szCs w:val="28"/>
        </w:rPr>
      </w:pPr>
    </w:p>
    <w:p w14:paraId="2C913B53" w14:textId="77777777" w:rsidR="00456E9B" w:rsidRDefault="00456E9B" w:rsidP="00456E9B">
      <w:pPr>
        <w:spacing w:after="0" w:line="276" w:lineRule="auto"/>
        <w:jc w:val="center"/>
        <w:rPr>
          <w:rStyle w:val="markedcontent"/>
          <w:rFonts w:ascii="Garamond" w:hAnsi="Garamond"/>
          <w:sz w:val="28"/>
          <w:szCs w:val="28"/>
        </w:rPr>
      </w:pPr>
      <w:r>
        <w:rPr>
          <w:rStyle w:val="markedcontent"/>
          <w:rFonts w:ascii="Garamond" w:hAnsi="Garamond"/>
          <w:sz w:val="28"/>
          <w:szCs w:val="28"/>
        </w:rPr>
        <w:tab/>
      </w:r>
      <w:r>
        <w:rPr>
          <w:rStyle w:val="markedcontent"/>
          <w:rFonts w:ascii="Garamond" w:hAnsi="Garamond"/>
          <w:sz w:val="28"/>
          <w:szCs w:val="28"/>
        </w:rPr>
        <w:tab/>
      </w:r>
      <w:r>
        <w:rPr>
          <w:rStyle w:val="markedcontent"/>
          <w:rFonts w:ascii="Garamond" w:hAnsi="Garamond"/>
          <w:sz w:val="28"/>
          <w:szCs w:val="28"/>
        </w:rPr>
        <w:tab/>
      </w:r>
      <w:r>
        <w:rPr>
          <w:rStyle w:val="markedcontent"/>
          <w:rFonts w:ascii="Garamond" w:hAnsi="Garamond"/>
          <w:sz w:val="28"/>
          <w:szCs w:val="28"/>
        </w:rPr>
        <w:tab/>
      </w:r>
      <w:r w:rsidRPr="00456E9B">
        <w:rPr>
          <w:rStyle w:val="markedcontent"/>
          <w:rFonts w:ascii="Garamond" w:hAnsi="Garamond"/>
          <w:sz w:val="28"/>
          <w:szCs w:val="28"/>
        </w:rPr>
        <w:t>Il Responsabile</w:t>
      </w:r>
    </w:p>
    <w:p w14:paraId="5A9DA343" w14:textId="77777777" w:rsidR="00456E9B" w:rsidRPr="00A71885" w:rsidRDefault="00456E9B" w:rsidP="00456E9B">
      <w:pPr>
        <w:spacing w:after="0" w:line="276" w:lineRule="auto"/>
        <w:ind w:left="2832"/>
        <w:jc w:val="center"/>
        <w:rPr>
          <w:rStyle w:val="markedcontent"/>
          <w:rFonts w:ascii="Garamond" w:hAnsi="Garamond"/>
          <w:sz w:val="28"/>
          <w:szCs w:val="28"/>
        </w:rPr>
      </w:pPr>
      <w:r>
        <w:rPr>
          <w:rStyle w:val="markedcontent"/>
          <w:rFonts w:ascii="Garamond" w:hAnsi="Garamond"/>
          <w:sz w:val="28"/>
          <w:szCs w:val="28"/>
        </w:rPr>
        <w:tab/>
      </w:r>
      <w:r w:rsidRPr="00456E9B">
        <w:rPr>
          <w:rStyle w:val="markedcontent"/>
          <w:rFonts w:ascii="Garamond" w:hAnsi="Garamond"/>
          <w:sz w:val="28"/>
          <w:szCs w:val="28"/>
        </w:rPr>
        <w:t>della Prevenzione</w:t>
      </w:r>
      <w:r>
        <w:rPr>
          <w:rStyle w:val="markedcontent"/>
          <w:rFonts w:ascii="Garamond" w:hAnsi="Garamond"/>
          <w:sz w:val="28"/>
          <w:szCs w:val="28"/>
        </w:rPr>
        <w:t xml:space="preserve"> </w:t>
      </w:r>
      <w:r w:rsidRPr="00456E9B">
        <w:rPr>
          <w:rStyle w:val="markedcontent"/>
          <w:rFonts w:ascii="Garamond" w:hAnsi="Garamond"/>
          <w:sz w:val="28"/>
          <w:szCs w:val="28"/>
        </w:rPr>
        <w:t>della Corruzione della Trasparenz</w:t>
      </w:r>
      <w:r>
        <w:rPr>
          <w:rStyle w:val="markedcontent"/>
          <w:rFonts w:ascii="Garamond" w:hAnsi="Garamond"/>
          <w:sz w:val="28"/>
          <w:szCs w:val="28"/>
        </w:rPr>
        <w:t xml:space="preserve">a </w:t>
      </w:r>
      <w:r>
        <w:rPr>
          <w:rStyle w:val="markedcontent"/>
          <w:rFonts w:ascii="Garamond" w:hAnsi="Garamond"/>
          <w:sz w:val="28"/>
          <w:szCs w:val="28"/>
        </w:rPr>
        <w:tab/>
        <w:t>dott.ssa Francesca Santoro</w:t>
      </w:r>
    </w:p>
    <w:sectPr w:rsidR="00456E9B" w:rsidRPr="00A71885" w:rsidSect="006B7B67">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B5101"/>
    <w:multiLevelType w:val="hybridMultilevel"/>
    <w:tmpl w:val="9D6E2994"/>
    <w:lvl w:ilvl="0" w:tplc="6CDEDC62">
      <w:numFmt w:val="bullet"/>
      <w:lvlText w:val="-"/>
      <w:lvlJc w:val="left"/>
      <w:pPr>
        <w:ind w:left="720" w:hanging="360"/>
      </w:pPr>
      <w:rPr>
        <w:rFonts w:ascii="Arial" w:eastAsia="Times New Roman" w:hAnsi="Arial" w:cs="Arial"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487E31"/>
    <w:multiLevelType w:val="hybridMultilevel"/>
    <w:tmpl w:val="F288DDE8"/>
    <w:lvl w:ilvl="0" w:tplc="6CDEDC62">
      <w:numFmt w:val="bullet"/>
      <w:lvlText w:val="-"/>
      <w:lvlJc w:val="left"/>
      <w:pPr>
        <w:ind w:left="720" w:hanging="360"/>
      </w:pPr>
      <w:rPr>
        <w:rFonts w:ascii="Arial" w:eastAsia="Times New Roman" w:hAnsi="Arial" w:cs="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F26A70"/>
    <w:multiLevelType w:val="hybridMultilevel"/>
    <w:tmpl w:val="3C329586"/>
    <w:lvl w:ilvl="0" w:tplc="6B5C2974">
      <w:numFmt w:val="bullet"/>
      <w:lvlText w:val="-"/>
      <w:lvlJc w:val="left"/>
      <w:pPr>
        <w:ind w:left="1080" w:hanging="360"/>
      </w:pPr>
      <w:rPr>
        <w:rFonts w:ascii="Calibri" w:eastAsia="Calibri" w:hAnsi="Calibri" w:cs="Calibri" w:hint="default"/>
        <w:w w:val="102"/>
        <w:sz w:val="22"/>
        <w:szCs w:val="22"/>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3F26901"/>
    <w:multiLevelType w:val="hybridMultilevel"/>
    <w:tmpl w:val="6A0230F8"/>
    <w:lvl w:ilvl="0" w:tplc="566A7100">
      <w:numFmt w:val="bullet"/>
      <w:lvlText w:val="-"/>
      <w:lvlJc w:val="left"/>
      <w:pPr>
        <w:ind w:left="720" w:hanging="360"/>
      </w:pPr>
      <w:rPr>
        <w:rFonts w:ascii="Calibri" w:eastAsiaTheme="minorHAnsi" w:hAnsi="Calibri" w:cs="Calibri" w:hint="default"/>
        <w:sz w:val="2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2779B"/>
    <w:multiLevelType w:val="hybridMultilevel"/>
    <w:tmpl w:val="273C7764"/>
    <w:lvl w:ilvl="0" w:tplc="6CDEDC62">
      <w:numFmt w:val="bullet"/>
      <w:lvlText w:val="-"/>
      <w:lvlJc w:val="left"/>
      <w:pPr>
        <w:ind w:left="720" w:hanging="360"/>
      </w:pPr>
      <w:rPr>
        <w:rFonts w:ascii="Arial" w:eastAsia="Times New Roman" w:hAnsi="Arial" w:cs="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EE09F6"/>
    <w:multiLevelType w:val="hybridMultilevel"/>
    <w:tmpl w:val="7E3674FA"/>
    <w:lvl w:ilvl="0" w:tplc="04F81BE4">
      <w:start w:val="6"/>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E86F83"/>
    <w:multiLevelType w:val="hybridMultilevel"/>
    <w:tmpl w:val="B4F46A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9270E3C"/>
    <w:multiLevelType w:val="hybridMultilevel"/>
    <w:tmpl w:val="16921EAA"/>
    <w:lvl w:ilvl="0" w:tplc="3F36611E">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595440">
    <w:abstractNumId w:val="3"/>
  </w:num>
  <w:num w:numId="2" w16cid:durableId="773207847">
    <w:abstractNumId w:val="2"/>
  </w:num>
  <w:num w:numId="3" w16cid:durableId="698434812">
    <w:abstractNumId w:val="6"/>
  </w:num>
  <w:num w:numId="4" w16cid:durableId="434718816">
    <w:abstractNumId w:val="7"/>
  </w:num>
  <w:num w:numId="5" w16cid:durableId="313995948">
    <w:abstractNumId w:val="5"/>
  </w:num>
  <w:num w:numId="6" w16cid:durableId="465393295">
    <w:abstractNumId w:val="4"/>
  </w:num>
  <w:num w:numId="7" w16cid:durableId="1246378863">
    <w:abstractNumId w:val="1"/>
  </w:num>
  <w:num w:numId="8" w16cid:durableId="100809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67"/>
    <w:rsid w:val="00022B29"/>
    <w:rsid w:val="00112E5B"/>
    <w:rsid w:val="00191D8E"/>
    <w:rsid w:val="00192A92"/>
    <w:rsid w:val="002055F4"/>
    <w:rsid w:val="0027600A"/>
    <w:rsid w:val="002C29E8"/>
    <w:rsid w:val="002C7018"/>
    <w:rsid w:val="00372410"/>
    <w:rsid w:val="00425B8E"/>
    <w:rsid w:val="00456E9B"/>
    <w:rsid w:val="00481907"/>
    <w:rsid w:val="0048530F"/>
    <w:rsid w:val="00624D3E"/>
    <w:rsid w:val="006301D5"/>
    <w:rsid w:val="006607ED"/>
    <w:rsid w:val="00676064"/>
    <w:rsid w:val="00683677"/>
    <w:rsid w:val="006A5801"/>
    <w:rsid w:val="006B7B67"/>
    <w:rsid w:val="006F5997"/>
    <w:rsid w:val="00701C49"/>
    <w:rsid w:val="00746D96"/>
    <w:rsid w:val="00755583"/>
    <w:rsid w:val="00787223"/>
    <w:rsid w:val="007E71E1"/>
    <w:rsid w:val="007F367B"/>
    <w:rsid w:val="00824797"/>
    <w:rsid w:val="008279B4"/>
    <w:rsid w:val="00840A66"/>
    <w:rsid w:val="0085008C"/>
    <w:rsid w:val="00865975"/>
    <w:rsid w:val="00894918"/>
    <w:rsid w:val="008C7CFB"/>
    <w:rsid w:val="008F5CA3"/>
    <w:rsid w:val="009122BB"/>
    <w:rsid w:val="00923AAC"/>
    <w:rsid w:val="009649BC"/>
    <w:rsid w:val="00976D65"/>
    <w:rsid w:val="009D4E5D"/>
    <w:rsid w:val="009E04E4"/>
    <w:rsid w:val="00A42AEE"/>
    <w:rsid w:val="00A50EE7"/>
    <w:rsid w:val="00A71084"/>
    <w:rsid w:val="00A71885"/>
    <w:rsid w:val="00AB3891"/>
    <w:rsid w:val="00B7633A"/>
    <w:rsid w:val="00BA42FE"/>
    <w:rsid w:val="00BD1719"/>
    <w:rsid w:val="00C82D67"/>
    <w:rsid w:val="00CE46E2"/>
    <w:rsid w:val="00D2189A"/>
    <w:rsid w:val="00E93FBA"/>
    <w:rsid w:val="00E9492C"/>
    <w:rsid w:val="00EB013A"/>
    <w:rsid w:val="00F31D95"/>
    <w:rsid w:val="00F932CF"/>
    <w:rsid w:val="00FC02F5"/>
    <w:rsid w:val="00FD2E86"/>
    <w:rsid w:val="00FF7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26FE"/>
  <w15:chartTrackingRefBased/>
  <w15:docId w15:val="{7B399642-876C-43DB-9711-5F6D311A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112E5B"/>
    <w:pPr>
      <w:widowControl w:val="0"/>
      <w:autoSpaceDE w:val="0"/>
      <w:autoSpaceDN w:val="0"/>
      <w:spacing w:after="0" w:line="240" w:lineRule="auto"/>
      <w:ind w:left="472"/>
      <w:jc w:val="both"/>
      <w:outlineLvl w:val="0"/>
    </w:pPr>
    <w:rPr>
      <w:rFonts w:ascii="Verdana" w:eastAsia="Verdana" w:hAnsi="Verdana" w:cs="Verdan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dcontent">
    <w:name w:val="markedcontent"/>
    <w:basedOn w:val="Carpredefinitoparagrafo"/>
    <w:rsid w:val="008279B4"/>
  </w:style>
  <w:style w:type="paragraph" w:styleId="Paragrafoelenco">
    <w:name w:val="List Paragraph"/>
    <w:basedOn w:val="Normale"/>
    <w:uiPriority w:val="1"/>
    <w:qFormat/>
    <w:rsid w:val="008279B4"/>
    <w:pPr>
      <w:ind w:left="720"/>
      <w:contextualSpacing/>
    </w:pPr>
  </w:style>
  <w:style w:type="character" w:customStyle="1" w:styleId="Titolo1Carattere">
    <w:name w:val="Titolo 1 Carattere"/>
    <w:basedOn w:val="Carpredefinitoparagrafo"/>
    <w:link w:val="Titolo1"/>
    <w:uiPriority w:val="1"/>
    <w:rsid w:val="00112E5B"/>
    <w:rPr>
      <w:rFonts w:ascii="Verdana" w:eastAsia="Verdana" w:hAnsi="Verdana" w:cs="Verdana"/>
      <w:b/>
      <w:bCs/>
    </w:rPr>
  </w:style>
  <w:style w:type="paragraph" w:styleId="Corpotesto">
    <w:name w:val="Body Text"/>
    <w:basedOn w:val="Normale"/>
    <w:link w:val="CorpotestoCarattere"/>
    <w:uiPriority w:val="1"/>
    <w:qFormat/>
    <w:rsid w:val="00425B8E"/>
    <w:pPr>
      <w:widowControl w:val="0"/>
      <w:autoSpaceDE w:val="0"/>
      <w:autoSpaceDN w:val="0"/>
      <w:spacing w:after="0" w:line="240" w:lineRule="auto"/>
    </w:pPr>
    <w:rPr>
      <w:rFonts w:ascii="Verdana" w:eastAsia="Verdana" w:hAnsi="Verdana" w:cs="Verdana"/>
    </w:rPr>
  </w:style>
  <w:style w:type="character" w:customStyle="1" w:styleId="CorpotestoCarattere">
    <w:name w:val="Corpo testo Carattere"/>
    <w:basedOn w:val="Carpredefinitoparagrafo"/>
    <w:link w:val="Corpotesto"/>
    <w:uiPriority w:val="1"/>
    <w:rsid w:val="00425B8E"/>
    <w:rPr>
      <w:rFonts w:ascii="Verdana" w:eastAsia="Verdana" w:hAnsi="Verdana" w:cs="Verdana"/>
    </w:rPr>
  </w:style>
  <w:style w:type="character" w:styleId="Collegamentoipertestuale">
    <w:name w:val="Hyperlink"/>
    <w:basedOn w:val="Carpredefinitoparagrafo"/>
    <w:uiPriority w:val="99"/>
    <w:unhideWhenUsed/>
    <w:rsid w:val="00A50E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75527">
      <w:bodyDiv w:val="1"/>
      <w:marLeft w:val="0"/>
      <w:marRight w:val="0"/>
      <w:marTop w:val="0"/>
      <w:marBottom w:val="0"/>
      <w:divBdr>
        <w:top w:val="none" w:sz="0" w:space="0" w:color="auto"/>
        <w:left w:val="none" w:sz="0" w:space="0" w:color="auto"/>
        <w:bottom w:val="none" w:sz="0" w:space="0" w:color="auto"/>
        <w:right w:val="none" w:sz="0" w:space="0" w:color="auto"/>
      </w:divBdr>
    </w:div>
    <w:div w:id="415904183">
      <w:bodyDiv w:val="1"/>
      <w:marLeft w:val="0"/>
      <w:marRight w:val="0"/>
      <w:marTop w:val="0"/>
      <w:marBottom w:val="0"/>
      <w:divBdr>
        <w:top w:val="none" w:sz="0" w:space="0" w:color="auto"/>
        <w:left w:val="none" w:sz="0" w:space="0" w:color="auto"/>
        <w:bottom w:val="none" w:sz="0" w:space="0" w:color="auto"/>
        <w:right w:val="none" w:sz="0" w:space="0" w:color="auto"/>
      </w:divBdr>
    </w:div>
    <w:div w:id="534663741">
      <w:bodyDiv w:val="1"/>
      <w:marLeft w:val="0"/>
      <w:marRight w:val="0"/>
      <w:marTop w:val="0"/>
      <w:marBottom w:val="0"/>
      <w:divBdr>
        <w:top w:val="none" w:sz="0" w:space="0" w:color="auto"/>
        <w:left w:val="none" w:sz="0" w:space="0" w:color="auto"/>
        <w:bottom w:val="none" w:sz="0" w:space="0" w:color="auto"/>
        <w:right w:val="none" w:sz="0" w:space="0" w:color="auto"/>
      </w:divBdr>
    </w:div>
    <w:div w:id="775757090">
      <w:bodyDiv w:val="1"/>
      <w:marLeft w:val="0"/>
      <w:marRight w:val="0"/>
      <w:marTop w:val="0"/>
      <w:marBottom w:val="0"/>
      <w:divBdr>
        <w:top w:val="none" w:sz="0" w:space="0" w:color="auto"/>
        <w:left w:val="none" w:sz="0" w:space="0" w:color="auto"/>
        <w:bottom w:val="none" w:sz="0" w:space="0" w:color="auto"/>
        <w:right w:val="none" w:sz="0" w:space="0" w:color="auto"/>
      </w:divBdr>
    </w:div>
    <w:div w:id="977029313">
      <w:bodyDiv w:val="1"/>
      <w:marLeft w:val="0"/>
      <w:marRight w:val="0"/>
      <w:marTop w:val="0"/>
      <w:marBottom w:val="0"/>
      <w:divBdr>
        <w:top w:val="none" w:sz="0" w:space="0" w:color="auto"/>
        <w:left w:val="none" w:sz="0" w:space="0" w:color="auto"/>
        <w:bottom w:val="none" w:sz="0" w:space="0" w:color="auto"/>
        <w:right w:val="none" w:sz="0" w:space="0" w:color="auto"/>
      </w:divBdr>
    </w:div>
    <w:div w:id="1066101783">
      <w:bodyDiv w:val="1"/>
      <w:marLeft w:val="0"/>
      <w:marRight w:val="0"/>
      <w:marTop w:val="0"/>
      <w:marBottom w:val="0"/>
      <w:divBdr>
        <w:top w:val="none" w:sz="0" w:space="0" w:color="auto"/>
        <w:left w:val="none" w:sz="0" w:space="0" w:color="auto"/>
        <w:bottom w:val="none" w:sz="0" w:space="0" w:color="auto"/>
        <w:right w:val="none" w:sz="0" w:space="0" w:color="auto"/>
      </w:divBdr>
    </w:div>
    <w:div w:id="1177576407">
      <w:bodyDiv w:val="1"/>
      <w:marLeft w:val="0"/>
      <w:marRight w:val="0"/>
      <w:marTop w:val="0"/>
      <w:marBottom w:val="0"/>
      <w:divBdr>
        <w:top w:val="none" w:sz="0" w:space="0" w:color="auto"/>
        <w:left w:val="none" w:sz="0" w:space="0" w:color="auto"/>
        <w:bottom w:val="none" w:sz="0" w:space="0" w:color="auto"/>
        <w:right w:val="none" w:sz="0" w:space="0" w:color="auto"/>
      </w:divBdr>
    </w:div>
    <w:div w:id="1246187515">
      <w:bodyDiv w:val="1"/>
      <w:marLeft w:val="0"/>
      <w:marRight w:val="0"/>
      <w:marTop w:val="0"/>
      <w:marBottom w:val="0"/>
      <w:divBdr>
        <w:top w:val="none" w:sz="0" w:space="0" w:color="auto"/>
        <w:left w:val="none" w:sz="0" w:space="0" w:color="auto"/>
        <w:bottom w:val="none" w:sz="0" w:space="0" w:color="auto"/>
        <w:right w:val="none" w:sz="0" w:space="0" w:color="auto"/>
      </w:divBdr>
    </w:div>
    <w:div w:id="1335650639">
      <w:bodyDiv w:val="1"/>
      <w:marLeft w:val="0"/>
      <w:marRight w:val="0"/>
      <w:marTop w:val="0"/>
      <w:marBottom w:val="0"/>
      <w:divBdr>
        <w:top w:val="none" w:sz="0" w:space="0" w:color="auto"/>
        <w:left w:val="none" w:sz="0" w:space="0" w:color="auto"/>
        <w:bottom w:val="none" w:sz="0" w:space="0" w:color="auto"/>
        <w:right w:val="none" w:sz="0" w:space="0" w:color="auto"/>
      </w:divBdr>
    </w:div>
    <w:div w:id="1350059124">
      <w:bodyDiv w:val="1"/>
      <w:marLeft w:val="0"/>
      <w:marRight w:val="0"/>
      <w:marTop w:val="0"/>
      <w:marBottom w:val="0"/>
      <w:divBdr>
        <w:top w:val="none" w:sz="0" w:space="0" w:color="auto"/>
        <w:left w:val="none" w:sz="0" w:space="0" w:color="auto"/>
        <w:bottom w:val="none" w:sz="0" w:space="0" w:color="auto"/>
        <w:right w:val="none" w:sz="0" w:space="0" w:color="auto"/>
      </w:divBdr>
    </w:div>
    <w:div w:id="1350794701">
      <w:bodyDiv w:val="1"/>
      <w:marLeft w:val="0"/>
      <w:marRight w:val="0"/>
      <w:marTop w:val="0"/>
      <w:marBottom w:val="0"/>
      <w:divBdr>
        <w:top w:val="none" w:sz="0" w:space="0" w:color="auto"/>
        <w:left w:val="none" w:sz="0" w:space="0" w:color="auto"/>
        <w:bottom w:val="none" w:sz="0" w:space="0" w:color="auto"/>
        <w:right w:val="none" w:sz="0" w:space="0" w:color="auto"/>
      </w:divBdr>
    </w:div>
    <w:div w:id="1369139041">
      <w:bodyDiv w:val="1"/>
      <w:marLeft w:val="0"/>
      <w:marRight w:val="0"/>
      <w:marTop w:val="0"/>
      <w:marBottom w:val="0"/>
      <w:divBdr>
        <w:top w:val="none" w:sz="0" w:space="0" w:color="auto"/>
        <w:left w:val="none" w:sz="0" w:space="0" w:color="auto"/>
        <w:bottom w:val="none" w:sz="0" w:space="0" w:color="auto"/>
        <w:right w:val="none" w:sz="0" w:space="0" w:color="auto"/>
      </w:divBdr>
    </w:div>
    <w:div w:id="1402218450">
      <w:bodyDiv w:val="1"/>
      <w:marLeft w:val="0"/>
      <w:marRight w:val="0"/>
      <w:marTop w:val="0"/>
      <w:marBottom w:val="0"/>
      <w:divBdr>
        <w:top w:val="none" w:sz="0" w:space="0" w:color="auto"/>
        <w:left w:val="none" w:sz="0" w:space="0" w:color="auto"/>
        <w:bottom w:val="none" w:sz="0" w:space="0" w:color="auto"/>
        <w:right w:val="none" w:sz="0" w:space="0" w:color="auto"/>
      </w:divBdr>
    </w:div>
    <w:div w:id="1469324322">
      <w:bodyDiv w:val="1"/>
      <w:marLeft w:val="0"/>
      <w:marRight w:val="0"/>
      <w:marTop w:val="0"/>
      <w:marBottom w:val="0"/>
      <w:divBdr>
        <w:top w:val="none" w:sz="0" w:space="0" w:color="auto"/>
        <w:left w:val="none" w:sz="0" w:space="0" w:color="auto"/>
        <w:bottom w:val="none" w:sz="0" w:space="0" w:color="auto"/>
        <w:right w:val="none" w:sz="0" w:space="0" w:color="auto"/>
      </w:divBdr>
    </w:div>
    <w:div w:id="1537885559">
      <w:bodyDiv w:val="1"/>
      <w:marLeft w:val="0"/>
      <w:marRight w:val="0"/>
      <w:marTop w:val="0"/>
      <w:marBottom w:val="0"/>
      <w:divBdr>
        <w:top w:val="none" w:sz="0" w:space="0" w:color="auto"/>
        <w:left w:val="none" w:sz="0" w:space="0" w:color="auto"/>
        <w:bottom w:val="none" w:sz="0" w:space="0" w:color="auto"/>
        <w:right w:val="none" w:sz="0" w:space="0" w:color="auto"/>
      </w:divBdr>
    </w:div>
    <w:div w:id="1604460611">
      <w:bodyDiv w:val="1"/>
      <w:marLeft w:val="0"/>
      <w:marRight w:val="0"/>
      <w:marTop w:val="0"/>
      <w:marBottom w:val="0"/>
      <w:divBdr>
        <w:top w:val="none" w:sz="0" w:space="0" w:color="auto"/>
        <w:left w:val="none" w:sz="0" w:space="0" w:color="auto"/>
        <w:bottom w:val="none" w:sz="0" w:space="0" w:color="auto"/>
        <w:right w:val="none" w:sz="0" w:space="0" w:color="auto"/>
      </w:divBdr>
    </w:div>
    <w:div w:id="1627354320">
      <w:bodyDiv w:val="1"/>
      <w:marLeft w:val="0"/>
      <w:marRight w:val="0"/>
      <w:marTop w:val="0"/>
      <w:marBottom w:val="0"/>
      <w:divBdr>
        <w:top w:val="none" w:sz="0" w:space="0" w:color="auto"/>
        <w:left w:val="none" w:sz="0" w:space="0" w:color="auto"/>
        <w:bottom w:val="none" w:sz="0" w:space="0" w:color="auto"/>
        <w:right w:val="none" w:sz="0" w:space="0" w:color="auto"/>
      </w:divBdr>
    </w:div>
    <w:div w:id="1642417585">
      <w:bodyDiv w:val="1"/>
      <w:marLeft w:val="0"/>
      <w:marRight w:val="0"/>
      <w:marTop w:val="0"/>
      <w:marBottom w:val="0"/>
      <w:divBdr>
        <w:top w:val="none" w:sz="0" w:space="0" w:color="auto"/>
        <w:left w:val="none" w:sz="0" w:space="0" w:color="auto"/>
        <w:bottom w:val="none" w:sz="0" w:space="0" w:color="auto"/>
        <w:right w:val="none" w:sz="0" w:space="0" w:color="auto"/>
      </w:divBdr>
    </w:div>
    <w:div w:id="1825076184">
      <w:bodyDiv w:val="1"/>
      <w:marLeft w:val="0"/>
      <w:marRight w:val="0"/>
      <w:marTop w:val="0"/>
      <w:marBottom w:val="0"/>
      <w:divBdr>
        <w:top w:val="none" w:sz="0" w:space="0" w:color="auto"/>
        <w:left w:val="none" w:sz="0" w:space="0" w:color="auto"/>
        <w:bottom w:val="none" w:sz="0" w:space="0" w:color="auto"/>
        <w:right w:val="none" w:sz="0" w:space="0" w:color="auto"/>
      </w:divBdr>
    </w:div>
    <w:div w:id="19598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82112466144734F9F249D7D8D319017" ma:contentTypeVersion="14" ma:contentTypeDescription="Creare un nuovo documento." ma:contentTypeScope="" ma:versionID="aff06b17b170f11a266a9a33e3b97068">
  <xsd:schema xmlns:xsd="http://www.w3.org/2001/XMLSchema" xmlns:xs="http://www.w3.org/2001/XMLSchema" xmlns:p="http://schemas.microsoft.com/office/2006/metadata/properties" xmlns:ns3="0caac732-e642-4803-9fb3-873a310561b4" xmlns:ns4="5016628a-9313-49d2-944c-dfd8c5e32d26" targetNamespace="http://schemas.microsoft.com/office/2006/metadata/properties" ma:root="true" ma:fieldsID="95b94b4c793e800cbf4080754ed51295" ns3:_="" ns4:_="">
    <xsd:import namespace="0caac732-e642-4803-9fb3-873a310561b4"/>
    <xsd:import namespace="5016628a-9313-49d2-944c-dfd8c5e32d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ac732-e642-4803-9fb3-873a31056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16628a-9313-49d2-944c-dfd8c5e32d26"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26A79-C762-44CE-987A-3803750A8EAD}">
  <ds:schemaRefs>
    <ds:schemaRef ds:uri="http://schemas.microsoft.com/sharepoint/v3/contenttype/forms"/>
  </ds:schemaRefs>
</ds:datastoreItem>
</file>

<file path=customXml/itemProps2.xml><?xml version="1.0" encoding="utf-8"?>
<ds:datastoreItem xmlns:ds="http://schemas.openxmlformats.org/officeDocument/2006/customXml" ds:itemID="{68A6DB3A-5AE1-4B40-B7AA-C1B902C72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ac732-e642-4803-9fb3-873a310561b4"/>
    <ds:schemaRef ds:uri="5016628a-9313-49d2-944c-dfd8c5e32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09166-8261-495E-869A-AB60765EB43A}">
  <ds:schemaRefs>
    <ds:schemaRef ds:uri="http://purl.org/dc/elements/1.1/"/>
    <ds:schemaRef ds:uri="5016628a-9313-49d2-944c-dfd8c5e32d26"/>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0caac732-e642-4803-9fb3-873a310561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3124</Words>
  <Characters>17810</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dott.ssa Marcella Angela Vigilante</dc:creator>
  <cp:keywords/>
  <dc:description/>
  <cp:lastModifiedBy>dott.ssa Marcella Angela Vigilante</cp:lastModifiedBy>
  <cp:revision>2</cp:revision>
  <dcterms:created xsi:type="dcterms:W3CDTF">2025-02-10T14:44:00Z</dcterms:created>
  <dcterms:modified xsi:type="dcterms:W3CDTF">2025-02-10T14:44:00Z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0x010100F82112466144734F9F249D7D8D319017</vt:lpwstr>
  </property>
</Properties>
</file>