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F" w:rsidRDefault="00545C4F" w:rsidP="00545C4F">
      <w:pPr>
        <w:spacing w:after="120"/>
        <w:jc w:val="center"/>
        <w:rPr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57225" cy="628650"/>
            <wp:effectExtent l="0" t="0" r="9525" b="0"/>
            <wp:docPr id="1" name="Immagine 1" descr="Pol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4F" w:rsidRDefault="00545C4F" w:rsidP="00545C4F">
      <w:pPr>
        <w:jc w:val="center"/>
        <w:rPr>
          <w:color w:val="008080"/>
          <w:sz w:val="20"/>
          <w:szCs w:val="20"/>
        </w:rPr>
      </w:pPr>
      <w:r>
        <w:rPr>
          <w:caps/>
          <w:color w:val="008080"/>
          <w:sz w:val="20"/>
          <w:szCs w:val="20"/>
        </w:rPr>
        <w:t>politecnico di Bari</w:t>
      </w:r>
    </w:p>
    <w:p w:rsidR="00545C4F" w:rsidRDefault="00545C4F" w:rsidP="00545C4F">
      <w:pPr>
        <w:jc w:val="center"/>
        <w:rPr>
          <w:sz w:val="20"/>
          <w:szCs w:val="20"/>
        </w:rPr>
      </w:pPr>
      <w:r>
        <w:rPr>
          <w:i/>
          <w:color w:val="008080"/>
          <w:sz w:val="20"/>
          <w:szCs w:val="20"/>
        </w:rPr>
        <w:t>Direzione Didattica, Ricerca, Trasferimento Tecnologico e Relazioni Internazionali</w:t>
      </w:r>
    </w:p>
    <w:p w:rsidR="00545C4F" w:rsidRDefault="00545C4F" w:rsidP="00545C4F">
      <w:pPr>
        <w:jc w:val="center"/>
        <w:rPr>
          <w:i/>
          <w:color w:val="008080"/>
          <w:sz w:val="20"/>
          <w:szCs w:val="20"/>
        </w:rPr>
      </w:pPr>
      <w:r>
        <w:rPr>
          <w:i/>
          <w:color w:val="008080"/>
          <w:sz w:val="20"/>
          <w:szCs w:val="20"/>
        </w:rPr>
        <w:t>Settore Diritto allo Studio</w:t>
      </w:r>
    </w:p>
    <w:p w:rsidR="00E87FF2" w:rsidRDefault="00E87FF2" w:rsidP="00545C4F">
      <w:pPr>
        <w:jc w:val="both"/>
        <w:rPr>
          <w:lang w:val="de-DE"/>
        </w:rPr>
      </w:pPr>
    </w:p>
    <w:p w:rsidR="00E87FF2" w:rsidRDefault="00E87FF2" w:rsidP="00545C4F">
      <w:pPr>
        <w:jc w:val="both"/>
        <w:rPr>
          <w:lang w:val="de-DE"/>
        </w:rPr>
      </w:pPr>
    </w:p>
    <w:p w:rsidR="00545C4F" w:rsidRDefault="00545C4F" w:rsidP="00545C4F">
      <w:pPr>
        <w:jc w:val="both"/>
        <w:rPr>
          <w:lang w:val="de-DE"/>
        </w:rPr>
      </w:pPr>
      <w:r>
        <w:rPr>
          <w:lang w:val="de-DE"/>
        </w:rPr>
        <w:t xml:space="preserve">D.R. n. </w:t>
      </w:r>
      <w:r w:rsidR="00A07F4C">
        <w:rPr>
          <w:lang w:val="de-DE"/>
        </w:rPr>
        <w:t>93</w:t>
      </w:r>
    </w:p>
    <w:p w:rsidR="00545C4F" w:rsidRDefault="00545C4F" w:rsidP="00545C4F">
      <w:pPr>
        <w:jc w:val="both"/>
        <w:rPr>
          <w:lang w:val="de-DE"/>
        </w:rPr>
      </w:pPr>
    </w:p>
    <w:p w:rsidR="00545C4F" w:rsidRDefault="00545C4F" w:rsidP="00545C4F">
      <w:pPr>
        <w:jc w:val="both"/>
        <w:rPr>
          <w:lang w:val="de-DE"/>
        </w:rPr>
      </w:pPr>
    </w:p>
    <w:p w:rsidR="00545C4F" w:rsidRDefault="00545C4F" w:rsidP="00545C4F">
      <w:pPr>
        <w:widowControl w:val="0"/>
        <w:autoSpaceDE w:val="0"/>
        <w:autoSpaceDN w:val="0"/>
        <w:adjustRightInd w:val="0"/>
        <w:spacing w:before="1" w:line="237" w:lineRule="auto"/>
        <w:ind w:left="993" w:right="71" w:hanging="993"/>
        <w:jc w:val="both"/>
        <w:rPr>
          <w:spacing w:val="1"/>
        </w:rPr>
      </w:pPr>
      <w:r>
        <w:rPr>
          <w:bCs/>
        </w:rPr>
        <w:t>V</w:t>
      </w:r>
      <w:r>
        <w:rPr>
          <w:bCs/>
          <w:spacing w:val="-1"/>
        </w:rPr>
        <w:t>I</w:t>
      </w:r>
      <w:r>
        <w:rPr>
          <w:bCs/>
        </w:rPr>
        <w:t>S</w:t>
      </w:r>
      <w:r>
        <w:rPr>
          <w:bCs/>
          <w:spacing w:val="-1"/>
        </w:rPr>
        <w:t>T</w:t>
      </w:r>
      <w:r>
        <w:rPr>
          <w:bCs/>
        </w:rPr>
        <w:t>O</w:t>
      </w:r>
      <w:r>
        <w:rPr>
          <w:bCs/>
        </w:rPr>
        <w:tab/>
      </w:r>
      <w:r w:rsidR="00C167D7">
        <w:rPr>
          <w:bCs/>
        </w:rPr>
        <w:tab/>
      </w:r>
      <w:r>
        <w:rPr>
          <w:spacing w:val="1"/>
        </w:rPr>
        <w:t>i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Decreto Ministeriale</w:t>
      </w:r>
      <w:r>
        <w:rPr>
          <w:spacing w:val="40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maggio</w:t>
      </w:r>
      <w:r>
        <w:rPr>
          <w:spacing w:val="38"/>
        </w:rPr>
        <w:t xml:space="preserve"> </w:t>
      </w:r>
      <w:r>
        <w:t>2014,</w:t>
      </w:r>
      <w:r>
        <w:rPr>
          <w:spacing w:val="35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38"/>
        </w:rPr>
        <w:t xml:space="preserve"> </w:t>
      </w:r>
      <w:r>
        <w:t>312</w:t>
      </w:r>
      <w:r>
        <w:rPr>
          <w:spacing w:val="36"/>
        </w:rPr>
        <w:t xml:space="preserve"> </w:t>
      </w:r>
      <w:r>
        <w:rPr>
          <w:spacing w:val="1"/>
        </w:rPr>
        <w:t xml:space="preserve">con il quale è indetta, per l’A.A. </w:t>
      </w:r>
      <w:r w:rsidR="00C167D7">
        <w:rPr>
          <w:spacing w:val="1"/>
        </w:rPr>
        <w:tab/>
      </w:r>
      <w:r>
        <w:rPr>
          <w:spacing w:val="1"/>
        </w:rPr>
        <w:t xml:space="preserve">2014-2015, la selezione </w:t>
      </w:r>
      <w:r>
        <w:rPr>
          <w:spacing w:val="-1"/>
        </w:rPr>
        <w:t xml:space="preserve">per l’accesso ai corsi di Tirocinio formativo attivo (TFA) </w:t>
      </w:r>
      <w:r w:rsidR="00C167D7">
        <w:rPr>
          <w:spacing w:val="-1"/>
        </w:rPr>
        <w:tab/>
      </w:r>
      <w:r>
        <w:rPr>
          <w:spacing w:val="-1"/>
        </w:rPr>
        <w:t xml:space="preserve">per il conseguimento dell’abilitazione per l’insegnamento nella scuola secondaria di I </w:t>
      </w:r>
      <w:r w:rsidR="00C167D7">
        <w:rPr>
          <w:spacing w:val="-1"/>
        </w:rPr>
        <w:tab/>
      </w:r>
      <w:r>
        <w:rPr>
          <w:spacing w:val="-1"/>
        </w:rPr>
        <w:t xml:space="preserve">e di II grado, </w:t>
      </w:r>
      <w:r>
        <w:rPr>
          <w:spacing w:val="1"/>
        </w:rPr>
        <w:t xml:space="preserve">in particolare l’allegato A, che definisce a livello regionale i posti da </w:t>
      </w:r>
      <w:r w:rsidR="00C167D7">
        <w:rPr>
          <w:spacing w:val="1"/>
        </w:rPr>
        <w:tab/>
      </w:r>
      <w:r>
        <w:rPr>
          <w:spacing w:val="1"/>
        </w:rPr>
        <w:t>mettere a concorso per le relative classi;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 w:line="237" w:lineRule="auto"/>
        <w:ind w:left="993" w:right="71" w:hanging="993"/>
        <w:jc w:val="both"/>
      </w:pPr>
      <w:r>
        <w:rPr>
          <w:bCs/>
        </w:rPr>
        <w:t>V</w:t>
      </w:r>
      <w:r>
        <w:rPr>
          <w:bCs/>
          <w:spacing w:val="-1"/>
        </w:rPr>
        <w:t>I</w:t>
      </w:r>
      <w:r>
        <w:rPr>
          <w:bCs/>
        </w:rPr>
        <w:t>S</w:t>
      </w:r>
      <w:r>
        <w:rPr>
          <w:bCs/>
          <w:spacing w:val="-1"/>
        </w:rPr>
        <w:t>T</w:t>
      </w:r>
      <w:r>
        <w:rPr>
          <w:bCs/>
        </w:rPr>
        <w:t>O</w:t>
      </w:r>
      <w:r>
        <w:tab/>
      </w:r>
      <w:r w:rsidR="00C167D7">
        <w:tab/>
      </w:r>
      <w:r>
        <w:t xml:space="preserve">il </w:t>
      </w:r>
      <w:hyperlink r:id="rId6" w:history="1">
        <w:r>
          <w:rPr>
            <w:rStyle w:val="Collegamentoipertestuale"/>
            <w:color w:val="auto"/>
            <w:spacing w:val="1"/>
            <w:u w:val="none"/>
          </w:rPr>
          <w:t>Decreto Dipartimentale n. 263 del 22 maggio 2014</w:t>
        </w:r>
      </w:hyperlink>
      <w:r>
        <w:t xml:space="preserve"> </w:t>
      </w:r>
      <w:r>
        <w:rPr>
          <w:i/>
          <w:iCs/>
        </w:rPr>
        <w:t xml:space="preserve">"Indicazioni operative per la </w:t>
      </w:r>
      <w:r w:rsidR="00C167D7">
        <w:rPr>
          <w:i/>
          <w:iCs/>
        </w:rPr>
        <w:tab/>
      </w:r>
      <w:r>
        <w:rPr>
          <w:i/>
          <w:iCs/>
        </w:rPr>
        <w:t xml:space="preserve">presentazione della domanda di partecipazione al Test preliminare e per il </w:t>
      </w:r>
      <w:r w:rsidR="00C167D7">
        <w:rPr>
          <w:i/>
          <w:iCs/>
        </w:rPr>
        <w:tab/>
      </w:r>
      <w:r>
        <w:rPr>
          <w:i/>
          <w:iCs/>
        </w:rPr>
        <w:t>pagamento del contributo di partecipazione alle prove di selezione”</w:t>
      </w:r>
      <w:r>
        <w:t>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 w:line="237" w:lineRule="auto"/>
        <w:ind w:left="993" w:right="71" w:hanging="993"/>
        <w:jc w:val="both"/>
      </w:pPr>
      <w:r>
        <w:rPr>
          <w:bCs/>
        </w:rPr>
        <w:t>V</w:t>
      </w:r>
      <w:r>
        <w:rPr>
          <w:bCs/>
          <w:spacing w:val="-1"/>
        </w:rPr>
        <w:t>I</w:t>
      </w:r>
      <w:r>
        <w:rPr>
          <w:bCs/>
        </w:rPr>
        <w:t>S</w:t>
      </w:r>
      <w:r>
        <w:rPr>
          <w:bCs/>
          <w:spacing w:val="-1"/>
        </w:rPr>
        <w:t>T</w:t>
      </w:r>
      <w:r>
        <w:rPr>
          <w:bCs/>
        </w:rPr>
        <w:t>O</w:t>
      </w:r>
      <w:r>
        <w:tab/>
      </w:r>
      <w:r w:rsidR="00C167D7">
        <w:tab/>
      </w:r>
      <w:r>
        <w:t xml:space="preserve">il </w:t>
      </w:r>
      <w:hyperlink r:id="rId7" w:history="1">
        <w:r>
          <w:rPr>
            <w:rStyle w:val="Collegamentoipertestuale"/>
            <w:color w:val="auto"/>
            <w:spacing w:val="1"/>
            <w:u w:val="none"/>
          </w:rPr>
          <w:t>Decreto Dipartimentale n. 306 del 05 giugno 2014</w:t>
        </w:r>
      </w:hyperlink>
      <w:r>
        <w:t xml:space="preserve"> </w:t>
      </w:r>
      <w:r>
        <w:rPr>
          <w:i/>
          <w:iCs/>
        </w:rPr>
        <w:t xml:space="preserve">"Calendario del test </w:t>
      </w:r>
      <w:r w:rsidR="00C167D7">
        <w:rPr>
          <w:i/>
          <w:iCs/>
        </w:rPr>
        <w:tab/>
      </w:r>
      <w:r>
        <w:rPr>
          <w:i/>
          <w:iCs/>
        </w:rPr>
        <w:t>preliminare"</w:t>
      </w:r>
      <w:r>
        <w:t xml:space="preserve"> e </w:t>
      </w:r>
      <w:proofErr w:type="spellStart"/>
      <w:r>
        <w:t>ss.mm.ii</w:t>
      </w:r>
      <w:proofErr w:type="spellEnd"/>
      <w:r>
        <w:t>.;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 w:line="237" w:lineRule="auto"/>
        <w:ind w:left="993" w:right="71" w:hanging="993"/>
        <w:jc w:val="both"/>
      </w:pPr>
      <w:r>
        <w:rPr>
          <w:bCs/>
        </w:rPr>
        <w:t>V</w:t>
      </w:r>
      <w:r>
        <w:rPr>
          <w:bCs/>
          <w:spacing w:val="-1"/>
        </w:rPr>
        <w:t>I</w:t>
      </w:r>
      <w:r>
        <w:rPr>
          <w:bCs/>
        </w:rPr>
        <w:t>S</w:t>
      </w:r>
      <w:r>
        <w:rPr>
          <w:bCs/>
          <w:spacing w:val="-1"/>
        </w:rPr>
        <w:t>T</w:t>
      </w:r>
      <w:r>
        <w:rPr>
          <w:bCs/>
        </w:rPr>
        <w:t>O</w:t>
      </w:r>
      <w:r>
        <w:rPr>
          <w:bCs/>
        </w:rPr>
        <w:tab/>
      </w:r>
      <w:r w:rsidR="00C167D7">
        <w:rPr>
          <w:bCs/>
        </w:rPr>
        <w:tab/>
      </w:r>
      <w:r>
        <w:t xml:space="preserve">il </w:t>
      </w:r>
      <w:hyperlink r:id="rId8" w:history="1">
        <w:r>
          <w:rPr>
            <w:rStyle w:val="Collegamentoipertestuale"/>
            <w:color w:val="auto"/>
            <w:spacing w:val="1"/>
            <w:u w:val="none"/>
          </w:rPr>
          <w:t>Decreto Ministeriale n. 487 del 20 giugno 2014</w:t>
        </w:r>
      </w:hyperlink>
      <w:r>
        <w:t xml:space="preserve"> che </w:t>
      </w:r>
      <w:r>
        <w:rPr>
          <w:i/>
          <w:iCs/>
        </w:rPr>
        <w:t xml:space="preserve">"... integra le </w:t>
      </w:r>
      <w:r w:rsidR="00C167D7">
        <w:rPr>
          <w:i/>
          <w:iCs/>
        </w:rPr>
        <w:tab/>
      </w:r>
      <w:r w:rsidR="00C167D7">
        <w:rPr>
          <w:i/>
          <w:iCs/>
        </w:rPr>
        <w:tab/>
      </w:r>
      <w:r>
        <w:rPr>
          <w:i/>
          <w:iCs/>
        </w:rPr>
        <w:t xml:space="preserve">disposizioni di cui al Decreto del Ministro dell'Istruzione, dell'Università e della </w:t>
      </w:r>
      <w:r w:rsidR="00C167D7">
        <w:rPr>
          <w:i/>
          <w:iCs/>
        </w:rPr>
        <w:tab/>
      </w:r>
      <w:r>
        <w:rPr>
          <w:i/>
          <w:iCs/>
        </w:rPr>
        <w:t xml:space="preserve">Ricerca 4 aprile 2011 n. 139 al fine di disciplinare l'istituzione e lo svolgimento dei </w:t>
      </w:r>
      <w:r w:rsidR="00C167D7">
        <w:rPr>
          <w:i/>
          <w:iCs/>
        </w:rPr>
        <w:tab/>
      </w:r>
      <w:r>
        <w:rPr>
          <w:i/>
          <w:iCs/>
        </w:rPr>
        <w:t xml:space="preserve">percorsi di Tirocinio Formativo </w:t>
      </w:r>
      <w:r w:rsidR="00E87FF2">
        <w:rPr>
          <w:i/>
          <w:iCs/>
        </w:rPr>
        <w:tab/>
      </w:r>
      <w:r>
        <w:rPr>
          <w:i/>
          <w:iCs/>
        </w:rPr>
        <w:t>Attivo"</w:t>
      </w:r>
      <w:r>
        <w:t>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/>
        <w:ind w:left="993" w:right="63" w:hanging="993"/>
        <w:jc w:val="both"/>
        <w:rPr>
          <w:i/>
          <w:iCs/>
        </w:rPr>
      </w:pPr>
      <w:r>
        <w:rPr>
          <w:bCs/>
        </w:rPr>
        <w:t>VISTO</w:t>
      </w:r>
      <w:r>
        <w:rPr>
          <w:bCs/>
        </w:rPr>
        <w:tab/>
      </w:r>
      <w:r w:rsidR="00E87FF2">
        <w:rPr>
          <w:bCs/>
        </w:rPr>
        <w:tab/>
      </w:r>
      <w:r>
        <w:t xml:space="preserve">il D.D.G. n. 698 del 1 ottobre 2014 recante </w:t>
      </w:r>
      <w:r>
        <w:rPr>
          <w:i/>
          <w:iCs/>
        </w:rPr>
        <w:t xml:space="preserve">“Istruzioni in merito alla procedura di </w:t>
      </w:r>
      <w:r w:rsidR="00E87FF2">
        <w:rPr>
          <w:i/>
          <w:iCs/>
        </w:rPr>
        <w:tab/>
      </w:r>
      <w:r>
        <w:rPr>
          <w:i/>
          <w:iCs/>
        </w:rPr>
        <w:t xml:space="preserve">iscrizione alle prove scritte e orali e all’attivazione del II ciclo dei percorsi del </w:t>
      </w:r>
      <w:r w:rsidR="00C167D7">
        <w:rPr>
          <w:i/>
          <w:iCs/>
        </w:rPr>
        <w:tab/>
      </w:r>
      <w:r>
        <w:rPr>
          <w:i/>
          <w:iCs/>
        </w:rPr>
        <w:t xml:space="preserve">Tirocinio </w:t>
      </w:r>
      <w:r w:rsidR="00E87FF2">
        <w:rPr>
          <w:i/>
          <w:iCs/>
        </w:rPr>
        <w:tab/>
      </w:r>
      <w:r>
        <w:rPr>
          <w:i/>
          <w:iCs/>
        </w:rPr>
        <w:t xml:space="preserve">Formativo Attivo di cui al D.M. 10 settembre 2010, n. </w:t>
      </w:r>
      <w:smartTag w:uri="urn:schemas-microsoft-com:office:smarttags" w:element="metricconverter">
        <w:smartTagPr>
          <w:attr w:name="ProductID" w:val="249”"/>
        </w:smartTagPr>
        <w:r>
          <w:rPr>
            <w:i/>
            <w:iCs/>
          </w:rPr>
          <w:t>249”</w:t>
        </w:r>
      </w:smartTag>
      <w:r>
        <w:rPr>
          <w:i/>
          <w:iCs/>
        </w:rPr>
        <w:t>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/>
        <w:ind w:left="993" w:right="63" w:hanging="993"/>
        <w:jc w:val="both"/>
        <w:rPr>
          <w:i/>
          <w:iCs/>
        </w:rPr>
      </w:pPr>
      <w:r>
        <w:rPr>
          <w:bCs/>
        </w:rPr>
        <w:t>VISTO</w:t>
      </w:r>
      <w:r>
        <w:rPr>
          <w:bCs/>
        </w:rPr>
        <w:tab/>
      </w:r>
      <w:r w:rsidR="00E87FF2">
        <w:rPr>
          <w:bCs/>
        </w:rPr>
        <w:tab/>
      </w:r>
      <w:r>
        <w:t xml:space="preserve">il D.D.G. dell’Ufficio Scolastico Regionale per la Puglia n. A00DRPU 10217 del 2 </w:t>
      </w:r>
      <w:r w:rsidR="00E87FF2">
        <w:tab/>
      </w:r>
      <w:r>
        <w:t>ottobre 2014, con cui è stata disposta all’art. 1 l’ammissione dei candidati “</w:t>
      </w:r>
      <w:r>
        <w:rPr>
          <w:i/>
          <w:iCs/>
        </w:rPr>
        <w:t>...s</w:t>
      </w:r>
      <w:r>
        <w:rPr>
          <w:i/>
          <w:iCs/>
          <w:spacing w:val="1"/>
        </w:rPr>
        <w:t>o</w:t>
      </w:r>
      <w:r>
        <w:rPr>
          <w:i/>
          <w:iCs/>
          <w:spacing w:val="-1"/>
        </w:rPr>
        <w:t>t</w:t>
      </w:r>
      <w:r>
        <w:rPr>
          <w:i/>
          <w:iCs/>
          <w:spacing w:val="1"/>
        </w:rPr>
        <w:t>t</w:t>
      </w:r>
      <w:r>
        <w:rPr>
          <w:i/>
          <w:iCs/>
        </w:rPr>
        <w:t>o</w:t>
      </w:r>
      <w:r>
        <w:rPr>
          <w:i/>
          <w:iCs/>
          <w:spacing w:val="2"/>
        </w:rPr>
        <w:t xml:space="preserve"> </w:t>
      </w:r>
      <w:r w:rsidR="00E87FF2">
        <w:rPr>
          <w:i/>
          <w:iCs/>
          <w:spacing w:val="2"/>
        </w:rPr>
        <w:tab/>
      </w:r>
      <w:r>
        <w:rPr>
          <w:i/>
          <w:iCs/>
          <w:spacing w:val="-1"/>
        </w:rPr>
        <w:t>c</w:t>
      </w:r>
      <w:r>
        <w:rPr>
          <w:i/>
          <w:iCs/>
          <w:spacing w:val="1"/>
        </w:rPr>
        <w:t>ond</w:t>
      </w:r>
      <w:r>
        <w:rPr>
          <w:i/>
          <w:iCs/>
          <w:spacing w:val="-2"/>
        </w:rPr>
        <w:t>i</w:t>
      </w:r>
      <w:r>
        <w:rPr>
          <w:i/>
          <w:iCs/>
          <w:spacing w:val="1"/>
        </w:rPr>
        <w:t>z</w:t>
      </w:r>
      <w:r>
        <w:rPr>
          <w:i/>
          <w:iCs/>
        </w:rPr>
        <w:t>i</w:t>
      </w:r>
      <w:r>
        <w:rPr>
          <w:i/>
          <w:iCs/>
          <w:spacing w:val="-2"/>
        </w:rPr>
        <w:t>o</w:t>
      </w:r>
      <w:r>
        <w:rPr>
          <w:i/>
          <w:iCs/>
          <w:spacing w:val="1"/>
        </w:rPr>
        <w:t>n</w:t>
      </w:r>
      <w:r>
        <w:rPr>
          <w:i/>
          <w:iCs/>
        </w:rPr>
        <w:t xml:space="preserve">e </w:t>
      </w:r>
      <w:r>
        <w:rPr>
          <w:i/>
          <w:iCs/>
          <w:spacing w:val="1"/>
        </w:rPr>
        <w:t>de</w:t>
      </w:r>
      <w:r>
        <w:rPr>
          <w:i/>
          <w:iCs/>
        </w:rPr>
        <w:t>ll’a</w:t>
      </w:r>
      <w:r>
        <w:rPr>
          <w:i/>
          <w:iCs/>
          <w:spacing w:val="-1"/>
        </w:rPr>
        <w:t>cc</w:t>
      </w:r>
      <w:r>
        <w:rPr>
          <w:i/>
          <w:iCs/>
          <w:spacing w:val="1"/>
        </w:rPr>
        <w:t>e</w:t>
      </w:r>
      <w:r>
        <w:rPr>
          <w:i/>
          <w:iCs/>
        </w:rPr>
        <w:t>r</w:t>
      </w:r>
      <w:r>
        <w:rPr>
          <w:i/>
          <w:iCs/>
          <w:spacing w:val="1"/>
        </w:rPr>
        <w:t>t</w:t>
      </w:r>
      <w:r>
        <w:rPr>
          <w:i/>
          <w:iCs/>
        </w:rPr>
        <w:t>a</w:t>
      </w:r>
      <w:r>
        <w:rPr>
          <w:i/>
          <w:iCs/>
          <w:spacing w:val="-2"/>
        </w:rPr>
        <w:t>m</w:t>
      </w:r>
      <w:r>
        <w:rPr>
          <w:i/>
          <w:iCs/>
          <w:spacing w:val="1"/>
        </w:rPr>
        <w:t>e</w:t>
      </w:r>
      <w:r>
        <w:rPr>
          <w:i/>
          <w:iCs/>
          <w:spacing w:val="-1"/>
        </w:rPr>
        <w:t>n</w:t>
      </w:r>
      <w:r>
        <w:rPr>
          <w:i/>
          <w:iCs/>
          <w:spacing w:val="1"/>
        </w:rPr>
        <w:t>t</w:t>
      </w:r>
      <w:r>
        <w:rPr>
          <w:i/>
          <w:iCs/>
        </w:rPr>
        <w:t>o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1"/>
        </w:rPr>
        <w:t>de</w:t>
      </w:r>
      <w:r>
        <w:rPr>
          <w:i/>
          <w:iCs/>
        </w:rPr>
        <w:t>i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r</w:t>
      </w:r>
      <w:r>
        <w:rPr>
          <w:i/>
          <w:iCs/>
          <w:spacing w:val="-2"/>
        </w:rPr>
        <w:t>e</w:t>
      </w:r>
      <w:r>
        <w:rPr>
          <w:i/>
          <w:iCs/>
          <w:spacing w:val="1"/>
        </w:rPr>
        <w:t>qu</w:t>
      </w:r>
      <w:r>
        <w:rPr>
          <w:i/>
          <w:iCs/>
        </w:rPr>
        <w:t>isi</w:t>
      </w:r>
      <w:r>
        <w:rPr>
          <w:i/>
          <w:iCs/>
          <w:spacing w:val="1"/>
        </w:rPr>
        <w:t>t</w:t>
      </w:r>
      <w:r>
        <w:rPr>
          <w:i/>
          <w:iCs/>
        </w:rPr>
        <w:t xml:space="preserve">i </w:t>
      </w:r>
      <w:r>
        <w:rPr>
          <w:i/>
          <w:iCs/>
          <w:spacing w:val="1"/>
        </w:rPr>
        <w:t>p</w:t>
      </w:r>
      <w:r>
        <w:rPr>
          <w:i/>
          <w:iCs/>
        </w:rPr>
        <w:t>r</w:t>
      </w:r>
      <w:r>
        <w:rPr>
          <w:i/>
          <w:iCs/>
          <w:spacing w:val="1"/>
        </w:rPr>
        <w:t>e</w:t>
      </w:r>
      <w:r>
        <w:rPr>
          <w:i/>
          <w:iCs/>
        </w:rPr>
        <w:t>s</w:t>
      </w:r>
      <w:r>
        <w:rPr>
          <w:i/>
          <w:iCs/>
          <w:spacing w:val="-1"/>
        </w:rPr>
        <w:t>c</w:t>
      </w:r>
      <w:r>
        <w:rPr>
          <w:i/>
          <w:iCs/>
        </w:rPr>
        <w:t>ri</w:t>
      </w:r>
      <w:r>
        <w:rPr>
          <w:i/>
          <w:iCs/>
          <w:spacing w:val="-1"/>
        </w:rPr>
        <w:t>t</w:t>
      </w:r>
      <w:r>
        <w:rPr>
          <w:i/>
          <w:iCs/>
          <w:spacing w:val="1"/>
        </w:rPr>
        <w:t>t</w:t>
      </w:r>
      <w:r>
        <w:rPr>
          <w:i/>
          <w:iCs/>
        </w:rPr>
        <w:t xml:space="preserve">i alla prova scritta, di cui all’art. </w:t>
      </w:r>
      <w:r w:rsidR="00C167D7">
        <w:rPr>
          <w:i/>
          <w:iCs/>
        </w:rPr>
        <w:tab/>
      </w:r>
      <w:r>
        <w:rPr>
          <w:i/>
          <w:iCs/>
        </w:rPr>
        <w:t xml:space="preserve">8 </w:t>
      </w:r>
      <w:r w:rsidR="00E87FF2">
        <w:rPr>
          <w:i/>
          <w:iCs/>
        </w:rPr>
        <w:tab/>
      </w:r>
      <w:r>
        <w:rPr>
          <w:i/>
          <w:iCs/>
        </w:rPr>
        <w:t xml:space="preserve">del D.M. 312 del 16 maggio 2014, presso l’ Ateneo regionale indicato ai </w:t>
      </w:r>
      <w:r w:rsidR="00C167D7">
        <w:rPr>
          <w:i/>
          <w:iCs/>
        </w:rPr>
        <w:tab/>
      </w:r>
      <w:r>
        <w:rPr>
          <w:i/>
          <w:iCs/>
        </w:rPr>
        <w:t xml:space="preserve">sensi dell’art. </w:t>
      </w:r>
      <w:r w:rsidR="00E87FF2">
        <w:rPr>
          <w:i/>
          <w:iCs/>
        </w:rPr>
        <w:tab/>
      </w:r>
      <w:r>
        <w:rPr>
          <w:i/>
          <w:iCs/>
        </w:rPr>
        <w:t>7, comma 5 del . D.M. 312/2014...”</w:t>
      </w:r>
      <w:r>
        <w:t xml:space="preserve">, disponendo altresì all’art. 2 che </w:t>
      </w:r>
      <w:r w:rsidR="00C167D7">
        <w:tab/>
      </w:r>
      <w:r>
        <w:t>“…q</w:t>
      </w:r>
      <w:r>
        <w:rPr>
          <w:i/>
          <w:iCs/>
          <w:spacing w:val="1"/>
        </w:rPr>
        <w:t>u</w:t>
      </w:r>
      <w:r>
        <w:rPr>
          <w:i/>
          <w:iCs/>
        </w:rPr>
        <w:t>al</w:t>
      </w:r>
      <w:r>
        <w:rPr>
          <w:i/>
          <w:iCs/>
          <w:spacing w:val="1"/>
        </w:rPr>
        <w:t>o</w:t>
      </w:r>
      <w:r>
        <w:rPr>
          <w:i/>
          <w:iCs/>
        </w:rPr>
        <w:t>ra v</w:t>
      </w:r>
      <w:r>
        <w:rPr>
          <w:i/>
          <w:iCs/>
          <w:spacing w:val="-2"/>
        </w:rPr>
        <w:t>e</w:t>
      </w:r>
      <w:r>
        <w:rPr>
          <w:i/>
          <w:iCs/>
          <w:spacing w:val="1"/>
        </w:rPr>
        <w:t>n</w:t>
      </w:r>
      <w:r>
        <w:rPr>
          <w:i/>
          <w:iCs/>
        </w:rPr>
        <w:t>isse</w:t>
      </w:r>
      <w:r>
        <w:rPr>
          <w:i/>
          <w:iCs/>
          <w:spacing w:val="-2"/>
        </w:rPr>
        <w:t xml:space="preserve"> </w:t>
      </w:r>
      <w:r w:rsidR="00E87FF2">
        <w:rPr>
          <w:i/>
          <w:iCs/>
          <w:spacing w:val="-2"/>
        </w:rPr>
        <w:tab/>
      </w:r>
      <w:r>
        <w:rPr>
          <w:i/>
          <w:iCs/>
        </w:rPr>
        <w:t>a</w:t>
      </w:r>
      <w:r>
        <w:rPr>
          <w:i/>
          <w:iCs/>
          <w:spacing w:val="-1"/>
        </w:rPr>
        <w:t>cc</w:t>
      </w:r>
      <w:r>
        <w:rPr>
          <w:i/>
          <w:iCs/>
          <w:spacing w:val="1"/>
        </w:rPr>
        <w:t>e</w:t>
      </w:r>
      <w:r>
        <w:rPr>
          <w:i/>
          <w:iCs/>
        </w:rPr>
        <w:t>r</w:t>
      </w:r>
      <w:r>
        <w:rPr>
          <w:i/>
          <w:iCs/>
          <w:spacing w:val="1"/>
        </w:rPr>
        <w:t>t</w:t>
      </w:r>
      <w:r>
        <w:rPr>
          <w:i/>
          <w:iCs/>
        </w:rPr>
        <w:t>a</w:t>
      </w:r>
      <w:r>
        <w:rPr>
          <w:i/>
          <w:iCs/>
          <w:spacing w:val="1"/>
        </w:rPr>
        <w:t>t</w:t>
      </w:r>
      <w:r>
        <w:rPr>
          <w:i/>
          <w:iCs/>
        </w:rPr>
        <w:t>a,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i</w:t>
      </w:r>
      <w:r>
        <w:rPr>
          <w:i/>
          <w:iCs/>
        </w:rPr>
        <w:t>n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q</w:t>
      </w:r>
      <w:r>
        <w:rPr>
          <w:i/>
          <w:iCs/>
          <w:spacing w:val="1"/>
        </w:rPr>
        <w:t>u</w:t>
      </w:r>
      <w:r>
        <w:rPr>
          <w:i/>
          <w:iCs/>
        </w:rPr>
        <w:t>alsiasi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m</w:t>
      </w:r>
      <w:r>
        <w:rPr>
          <w:i/>
          <w:iCs/>
          <w:spacing w:val="1"/>
        </w:rPr>
        <w:t>o</w:t>
      </w:r>
      <w:r>
        <w:rPr>
          <w:i/>
          <w:iCs/>
        </w:rPr>
        <w:t>m</w:t>
      </w:r>
      <w:r>
        <w:rPr>
          <w:i/>
          <w:iCs/>
          <w:spacing w:val="1"/>
        </w:rPr>
        <w:t>e</w:t>
      </w:r>
      <w:r>
        <w:rPr>
          <w:i/>
          <w:iCs/>
          <w:spacing w:val="-1"/>
        </w:rPr>
        <w:t>n</w:t>
      </w:r>
      <w:r>
        <w:rPr>
          <w:i/>
          <w:iCs/>
          <w:spacing w:val="1"/>
        </w:rPr>
        <w:t>to</w:t>
      </w:r>
      <w:r>
        <w:rPr>
          <w:i/>
          <w:iCs/>
        </w:rPr>
        <w:t>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ar</w:t>
      </w:r>
      <w:r>
        <w:rPr>
          <w:i/>
          <w:iCs/>
          <w:spacing w:val="-2"/>
        </w:rPr>
        <w:t>e</w:t>
      </w:r>
      <w:r>
        <w:rPr>
          <w:i/>
          <w:iCs/>
          <w:spacing w:val="1"/>
        </w:rPr>
        <w:t>nz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1"/>
        </w:rPr>
        <w:t>de</w:t>
      </w:r>
      <w:r>
        <w:rPr>
          <w:i/>
          <w:iCs/>
        </w:rPr>
        <w:t>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2"/>
        </w:rPr>
        <w:t>r</w:t>
      </w:r>
      <w:r>
        <w:rPr>
          <w:i/>
          <w:iCs/>
          <w:spacing w:val="1"/>
        </w:rPr>
        <w:t>equ</w:t>
      </w:r>
      <w:r>
        <w:rPr>
          <w:i/>
          <w:iCs/>
        </w:rPr>
        <w:t>is</w:t>
      </w:r>
      <w:r>
        <w:rPr>
          <w:i/>
          <w:iCs/>
          <w:spacing w:val="-2"/>
        </w:rPr>
        <w:t>i</w:t>
      </w:r>
      <w:r>
        <w:rPr>
          <w:i/>
          <w:iCs/>
          <w:spacing w:val="1"/>
        </w:rPr>
        <w:t>t</w:t>
      </w:r>
      <w:r>
        <w:rPr>
          <w:i/>
          <w:iCs/>
        </w:rPr>
        <w:t>i</w:t>
      </w:r>
      <w:r>
        <w:rPr>
          <w:i/>
          <w:iCs/>
          <w:spacing w:val="1"/>
        </w:rPr>
        <w:t xml:space="preserve"> d</w:t>
      </w:r>
      <w:r>
        <w:rPr>
          <w:i/>
          <w:iCs/>
        </w:rPr>
        <w:t>i</w:t>
      </w:r>
      <w:r>
        <w:rPr>
          <w:i/>
          <w:iCs/>
          <w:spacing w:val="5"/>
        </w:rPr>
        <w:t xml:space="preserve"> </w:t>
      </w:r>
      <w:r w:rsidR="00C167D7">
        <w:rPr>
          <w:i/>
          <w:iCs/>
          <w:spacing w:val="5"/>
        </w:rPr>
        <w:tab/>
      </w:r>
      <w:r>
        <w:rPr>
          <w:i/>
          <w:iCs/>
        </w:rPr>
        <w:t>a</w:t>
      </w:r>
      <w:r>
        <w:rPr>
          <w:i/>
          <w:iCs/>
          <w:spacing w:val="-1"/>
        </w:rPr>
        <w:t>cc</w:t>
      </w:r>
      <w:r>
        <w:rPr>
          <w:i/>
          <w:iCs/>
          <w:spacing w:val="1"/>
        </w:rPr>
        <w:t>e</w:t>
      </w:r>
      <w:r>
        <w:rPr>
          <w:i/>
          <w:iCs/>
        </w:rPr>
        <w:t>ss</w:t>
      </w:r>
      <w:r>
        <w:rPr>
          <w:i/>
          <w:iCs/>
          <w:spacing w:val="1"/>
        </w:rPr>
        <w:t>o</w:t>
      </w:r>
      <w:r>
        <w:rPr>
          <w:i/>
          <w:iCs/>
        </w:rPr>
        <w:t>,</w:t>
      </w:r>
      <w:r>
        <w:rPr>
          <w:i/>
          <w:iCs/>
          <w:spacing w:val="-2"/>
        </w:rPr>
        <w:t xml:space="preserve"> a</w:t>
      </w:r>
      <w:r>
        <w:rPr>
          <w:i/>
          <w:iCs/>
          <w:spacing w:val="1"/>
        </w:rPr>
        <w:t>n</w:t>
      </w:r>
      <w:r>
        <w:rPr>
          <w:i/>
          <w:iCs/>
          <w:spacing w:val="-1"/>
        </w:rPr>
        <w:t>ch</w:t>
      </w:r>
      <w:r>
        <w:rPr>
          <w:i/>
          <w:iCs/>
        </w:rPr>
        <w:t>e a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1"/>
        </w:rPr>
        <w:t>e</w:t>
      </w:r>
      <w:r>
        <w:rPr>
          <w:i/>
          <w:iCs/>
        </w:rPr>
        <w:t>g</w:t>
      </w:r>
      <w:r>
        <w:rPr>
          <w:i/>
          <w:iCs/>
          <w:spacing w:val="1"/>
        </w:rPr>
        <w:t>u</w:t>
      </w:r>
      <w:r>
        <w:rPr>
          <w:i/>
          <w:iCs/>
        </w:rPr>
        <w:t>i</w:t>
      </w:r>
      <w:r>
        <w:rPr>
          <w:i/>
          <w:iCs/>
          <w:spacing w:val="-1"/>
        </w:rPr>
        <w:t>t</w:t>
      </w:r>
      <w:r>
        <w:rPr>
          <w:i/>
          <w:iCs/>
        </w:rPr>
        <w:t>o</w:t>
      </w:r>
      <w:r>
        <w:rPr>
          <w:i/>
          <w:iCs/>
          <w:spacing w:val="3"/>
        </w:rPr>
        <w:t xml:space="preserve"> </w:t>
      </w:r>
      <w:r w:rsidR="00E87FF2">
        <w:rPr>
          <w:i/>
          <w:iCs/>
          <w:spacing w:val="3"/>
        </w:rPr>
        <w:tab/>
      </w:r>
      <w:r>
        <w:rPr>
          <w:i/>
          <w:iCs/>
          <w:spacing w:val="1"/>
        </w:rPr>
        <w:t>d</w:t>
      </w:r>
      <w:r>
        <w:rPr>
          <w:i/>
          <w:iCs/>
          <w:spacing w:val="-2"/>
        </w:rPr>
        <w:t>e</w:t>
      </w:r>
      <w:r>
        <w:rPr>
          <w:i/>
          <w:iCs/>
        </w:rPr>
        <w:t>i</w:t>
      </w:r>
      <w:r>
        <w:rPr>
          <w:i/>
          <w:iCs/>
          <w:spacing w:val="3"/>
        </w:rPr>
        <w:t xml:space="preserve"> </w:t>
      </w:r>
      <w:r w:rsidR="00E87FF2">
        <w:rPr>
          <w:i/>
          <w:iCs/>
          <w:spacing w:val="3"/>
        </w:rPr>
        <w:tab/>
      </w:r>
      <w:r>
        <w:rPr>
          <w:i/>
          <w:iCs/>
          <w:spacing w:val="-1"/>
        </w:rPr>
        <w:t>c</w:t>
      </w:r>
      <w:r>
        <w:rPr>
          <w:i/>
          <w:iCs/>
          <w:spacing w:val="1"/>
        </w:rPr>
        <w:t>o</w:t>
      </w:r>
      <w:r>
        <w:rPr>
          <w:i/>
          <w:iCs/>
          <w:spacing w:val="-1"/>
        </w:rPr>
        <w:t>n</w:t>
      </w:r>
      <w:r>
        <w:rPr>
          <w:i/>
          <w:iCs/>
          <w:spacing w:val="1"/>
        </w:rPr>
        <w:t>t</w:t>
      </w:r>
      <w:r>
        <w:rPr>
          <w:i/>
          <w:iCs/>
        </w:rPr>
        <w:t>r</w:t>
      </w:r>
      <w:r>
        <w:rPr>
          <w:i/>
          <w:iCs/>
          <w:spacing w:val="1"/>
        </w:rPr>
        <w:t>o</w:t>
      </w:r>
      <w:r>
        <w:rPr>
          <w:i/>
          <w:iCs/>
        </w:rPr>
        <w:t xml:space="preserve">lli </w:t>
      </w:r>
      <w:r>
        <w:rPr>
          <w:i/>
          <w:iCs/>
          <w:spacing w:val="1"/>
        </w:rPr>
        <w:t>d</w:t>
      </w:r>
      <w:r>
        <w:rPr>
          <w:i/>
          <w:iCs/>
        </w:rPr>
        <w:t>’</w:t>
      </w:r>
      <w:r>
        <w:rPr>
          <w:i/>
          <w:iCs/>
          <w:spacing w:val="1"/>
        </w:rPr>
        <w:t>u</w:t>
      </w:r>
      <w:r>
        <w:rPr>
          <w:i/>
          <w:iCs/>
          <w:spacing w:val="-1"/>
        </w:rPr>
        <w:t>f</w:t>
      </w:r>
      <w:r>
        <w:rPr>
          <w:i/>
          <w:iCs/>
          <w:spacing w:val="1"/>
        </w:rPr>
        <w:t>f</w:t>
      </w:r>
      <w:r>
        <w:rPr>
          <w:i/>
          <w:iCs/>
        </w:rPr>
        <w:t>i</w:t>
      </w:r>
      <w:r>
        <w:rPr>
          <w:i/>
          <w:iCs/>
          <w:spacing w:val="-1"/>
        </w:rPr>
        <w:t>c</w:t>
      </w:r>
      <w:r>
        <w:rPr>
          <w:i/>
          <w:iCs/>
        </w:rPr>
        <w:t>io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3"/>
        </w:rPr>
        <w:t>s</w:t>
      </w:r>
      <w:r>
        <w:rPr>
          <w:i/>
          <w:iCs/>
          <w:spacing w:val="1"/>
        </w:rPr>
        <w:t>u</w:t>
      </w:r>
      <w:r>
        <w:rPr>
          <w:i/>
          <w:iCs/>
        </w:rPr>
        <w:t>lle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2"/>
        </w:rPr>
        <w:t>a</w:t>
      </w:r>
      <w:r>
        <w:rPr>
          <w:i/>
          <w:iCs/>
          <w:spacing w:val="1"/>
        </w:rPr>
        <w:t>uto</w:t>
      </w:r>
      <w:r>
        <w:rPr>
          <w:i/>
          <w:iCs/>
          <w:spacing w:val="-1"/>
        </w:rPr>
        <w:t>c</w:t>
      </w:r>
      <w:r>
        <w:rPr>
          <w:i/>
          <w:iCs/>
          <w:spacing w:val="1"/>
        </w:rPr>
        <w:t>e</w:t>
      </w:r>
      <w:r>
        <w:rPr>
          <w:i/>
          <w:iCs/>
          <w:spacing w:val="-2"/>
        </w:rPr>
        <w:t>r</w:t>
      </w:r>
      <w:r>
        <w:rPr>
          <w:i/>
          <w:iCs/>
          <w:spacing w:val="1"/>
        </w:rPr>
        <w:t>t</w:t>
      </w:r>
      <w:r>
        <w:rPr>
          <w:i/>
          <w:iCs/>
          <w:spacing w:val="-2"/>
        </w:rPr>
        <w:t>i</w:t>
      </w:r>
      <w:r>
        <w:rPr>
          <w:i/>
          <w:iCs/>
          <w:spacing w:val="1"/>
        </w:rPr>
        <w:t>f</w:t>
      </w:r>
      <w:r>
        <w:rPr>
          <w:i/>
          <w:iCs/>
          <w:spacing w:val="2"/>
        </w:rPr>
        <w:t>i</w:t>
      </w:r>
      <w:r>
        <w:rPr>
          <w:i/>
          <w:iCs/>
          <w:spacing w:val="-1"/>
        </w:rPr>
        <w:t>c</w:t>
      </w:r>
      <w:r>
        <w:rPr>
          <w:i/>
          <w:iCs/>
        </w:rPr>
        <w:t>a</w:t>
      </w:r>
      <w:r>
        <w:rPr>
          <w:i/>
          <w:iCs/>
          <w:spacing w:val="1"/>
        </w:rPr>
        <w:t>z</w:t>
      </w:r>
      <w:r>
        <w:rPr>
          <w:i/>
          <w:iCs/>
        </w:rPr>
        <w:t>i</w:t>
      </w:r>
      <w:r>
        <w:rPr>
          <w:i/>
          <w:iCs/>
          <w:spacing w:val="-2"/>
        </w:rPr>
        <w:t>o</w:t>
      </w:r>
      <w:r>
        <w:rPr>
          <w:i/>
          <w:iCs/>
          <w:spacing w:val="1"/>
        </w:rPr>
        <w:t>n</w:t>
      </w:r>
      <w:r>
        <w:rPr>
          <w:i/>
          <w:iCs/>
        </w:rPr>
        <w:t>i</w:t>
      </w:r>
      <w:r>
        <w:rPr>
          <w:i/>
          <w:iCs/>
          <w:spacing w:val="3"/>
        </w:rPr>
        <w:t xml:space="preserve"> </w:t>
      </w:r>
      <w:r w:rsidR="00C167D7">
        <w:rPr>
          <w:i/>
          <w:iCs/>
          <w:spacing w:val="3"/>
        </w:rPr>
        <w:tab/>
      </w:r>
      <w:r>
        <w:rPr>
          <w:i/>
          <w:iCs/>
          <w:spacing w:val="1"/>
        </w:rPr>
        <w:t>p</w:t>
      </w:r>
      <w:r>
        <w:rPr>
          <w:i/>
          <w:iCs/>
          <w:spacing w:val="-2"/>
        </w:rPr>
        <w:t>r</w:t>
      </w:r>
      <w:r>
        <w:rPr>
          <w:i/>
          <w:iCs/>
          <w:spacing w:val="1"/>
        </w:rPr>
        <w:t>od</w:t>
      </w:r>
      <w:r>
        <w:rPr>
          <w:i/>
          <w:iCs/>
          <w:spacing w:val="-2"/>
        </w:rPr>
        <w:t>o</w:t>
      </w:r>
      <w:r>
        <w:rPr>
          <w:i/>
          <w:iCs/>
          <w:spacing w:val="1"/>
        </w:rPr>
        <w:t>t</w:t>
      </w:r>
      <w:r>
        <w:rPr>
          <w:i/>
          <w:iCs/>
          <w:spacing w:val="-1"/>
        </w:rPr>
        <w:t>t</w:t>
      </w:r>
      <w:r>
        <w:rPr>
          <w:i/>
          <w:iCs/>
        </w:rPr>
        <w:t>e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1"/>
        </w:rPr>
        <w:t>d</w:t>
      </w:r>
      <w:r>
        <w:rPr>
          <w:i/>
          <w:iCs/>
        </w:rPr>
        <w:t>agli as</w:t>
      </w:r>
      <w:r>
        <w:rPr>
          <w:i/>
          <w:iCs/>
          <w:spacing w:val="1"/>
        </w:rPr>
        <w:t>p</w:t>
      </w:r>
      <w:r>
        <w:rPr>
          <w:i/>
          <w:iCs/>
        </w:rPr>
        <w:t>ira</w:t>
      </w:r>
      <w:r>
        <w:rPr>
          <w:i/>
          <w:iCs/>
          <w:spacing w:val="-1"/>
        </w:rPr>
        <w:t>n</w:t>
      </w:r>
      <w:r>
        <w:rPr>
          <w:i/>
          <w:iCs/>
          <w:spacing w:val="1"/>
        </w:rPr>
        <w:t>t</w:t>
      </w:r>
      <w:r>
        <w:rPr>
          <w:i/>
          <w:iCs/>
        </w:rPr>
        <w:t>i,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si </w:t>
      </w:r>
      <w:r w:rsidR="00E87FF2">
        <w:rPr>
          <w:i/>
          <w:iCs/>
        </w:rPr>
        <w:tab/>
      </w:r>
      <w:r>
        <w:rPr>
          <w:i/>
          <w:iCs/>
          <w:spacing w:val="1"/>
        </w:rPr>
        <w:t>p</w:t>
      </w:r>
      <w:r>
        <w:rPr>
          <w:i/>
          <w:iCs/>
        </w:rPr>
        <w:t>r</w:t>
      </w:r>
      <w:r>
        <w:rPr>
          <w:i/>
          <w:iCs/>
          <w:spacing w:val="1"/>
        </w:rPr>
        <w:t>o</w:t>
      </w:r>
      <w:r>
        <w:rPr>
          <w:i/>
          <w:iCs/>
          <w:spacing w:val="-1"/>
        </w:rPr>
        <w:t>c</w:t>
      </w:r>
      <w:r>
        <w:rPr>
          <w:i/>
          <w:iCs/>
          <w:spacing w:val="-2"/>
        </w:rPr>
        <w:t>e</w:t>
      </w:r>
      <w:r>
        <w:rPr>
          <w:i/>
          <w:iCs/>
          <w:spacing w:val="1"/>
        </w:rPr>
        <w:t>de</w:t>
      </w:r>
      <w:r>
        <w:rPr>
          <w:i/>
          <w:iCs/>
          <w:spacing w:val="-2"/>
        </w:rPr>
        <w:t>r</w:t>
      </w:r>
      <w:r>
        <w:rPr>
          <w:i/>
          <w:iCs/>
        </w:rPr>
        <w:t xml:space="preserve">à </w:t>
      </w:r>
      <w:r w:rsidR="00E87FF2">
        <w:rPr>
          <w:i/>
          <w:iCs/>
        </w:rPr>
        <w:tab/>
      </w:r>
      <w:r>
        <w:rPr>
          <w:i/>
          <w:iCs/>
        </w:rPr>
        <w:t>all’</w:t>
      </w:r>
      <w:r>
        <w:rPr>
          <w:i/>
          <w:iCs/>
          <w:spacing w:val="1"/>
        </w:rPr>
        <w:t>e</w:t>
      </w:r>
      <w:r>
        <w:rPr>
          <w:i/>
          <w:iCs/>
        </w:rPr>
        <w:t>s</w:t>
      </w:r>
      <w:r>
        <w:rPr>
          <w:i/>
          <w:iCs/>
          <w:spacing w:val="-1"/>
        </w:rPr>
        <w:t>c</w:t>
      </w:r>
      <w:r>
        <w:rPr>
          <w:i/>
          <w:iCs/>
        </w:rPr>
        <w:t>l</w:t>
      </w:r>
      <w:r>
        <w:rPr>
          <w:i/>
          <w:iCs/>
          <w:spacing w:val="1"/>
        </w:rPr>
        <w:t>u</w:t>
      </w:r>
      <w:r>
        <w:rPr>
          <w:i/>
          <w:iCs/>
        </w:rPr>
        <w:t>si</w:t>
      </w:r>
      <w:r>
        <w:rPr>
          <w:i/>
          <w:iCs/>
          <w:spacing w:val="1"/>
        </w:rPr>
        <w:t>on</w:t>
      </w:r>
      <w:r>
        <w:rPr>
          <w:i/>
          <w:iCs/>
        </w:rPr>
        <w:t>e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-1"/>
        </w:rPr>
        <w:t>d</w:t>
      </w:r>
      <w:r>
        <w:rPr>
          <w:i/>
          <w:iCs/>
          <w:spacing w:val="1"/>
        </w:rPr>
        <w:t>e</w:t>
      </w:r>
      <w:r>
        <w:rPr>
          <w:i/>
          <w:iCs/>
        </w:rPr>
        <w:t>i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a</w:t>
      </w:r>
      <w:r>
        <w:rPr>
          <w:i/>
          <w:iCs/>
          <w:spacing w:val="-1"/>
        </w:rPr>
        <w:t>n</w:t>
      </w:r>
      <w:r>
        <w:rPr>
          <w:i/>
          <w:iCs/>
          <w:spacing w:val="1"/>
        </w:rPr>
        <w:t>d</w:t>
      </w:r>
      <w:r>
        <w:rPr>
          <w:i/>
          <w:iCs/>
        </w:rPr>
        <w:t>i</w:t>
      </w:r>
      <w:r>
        <w:rPr>
          <w:i/>
          <w:iCs/>
          <w:spacing w:val="-1"/>
        </w:rPr>
        <w:t>d</w:t>
      </w:r>
      <w:r>
        <w:rPr>
          <w:i/>
          <w:iCs/>
        </w:rPr>
        <w:t>a</w:t>
      </w:r>
      <w:r>
        <w:rPr>
          <w:i/>
          <w:iCs/>
          <w:spacing w:val="1"/>
        </w:rPr>
        <w:t>t</w:t>
      </w:r>
      <w:r>
        <w:rPr>
          <w:i/>
          <w:iCs/>
        </w:rPr>
        <w:t xml:space="preserve">i anche a </w:t>
      </w:r>
      <w:r w:rsidR="00C167D7">
        <w:rPr>
          <w:i/>
          <w:iCs/>
        </w:rPr>
        <w:tab/>
      </w:r>
      <w:r>
        <w:rPr>
          <w:i/>
          <w:iCs/>
        </w:rPr>
        <w:t>selezione ultimata…”;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/>
        <w:ind w:left="993" w:right="63" w:hanging="993"/>
        <w:jc w:val="both"/>
      </w:pPr>
      <w:r>
        <w:rPr>
          <w:bCs/>
        </w:rPr>
        <w:t>VISTO</w:t>
      </w:r>
      <w:r>
        <w:rPr>
          <w:bCs/>
        </w:rPr>
        <w:tab/>
      </w:r>
      <w:r w:rsidR="00E87FF2">
        <w:rPr>
          <w:bCs/>
        </w:rPr>
        <w:tab/>
      </w:r>
      <w:r>
        <w:t xml:space="preserve">il D.R. n. 267 del 10 luglio 2014 con cui è stata definita l’istituzione e la relativa </w:t>
      </w:r>
      <w:r w:rsidR="00E87FF2">
        <w:tab/>
      </w:r>
      <w:r>
        <w:t xml:space="preserve">attivazione delle classi di abilitazione per i Tirocini Formativi Attivi –TFA per </w:t>
      </w:r>
      <w:r w:rsidR="00E87FF2">
        <w:tab/>
      </w:r>
      <w:r>
        <w:t xml:space="preserve">l’A.A. </w:t>
      </w:r>
      <w:r w:rsidR="00E87FF2">
        <w:tab/>
      </w:r>
      <w:r>
        <w:t>2014/2015;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/>
        <w:ind w:left="993" w:right="63" w:hanging="993"/>
        <w:jc w:val="both"/>
        <w:rPr>
          <w:bCs/>
        </w:rPr>
      </w:pPr>
      <w:r>
        <w:rPr>
          <w:bCs/>
        </w:rPr>
        <w:t>VISTO</w:t>
      </w:r>
      <w:r>
        <w:rPr>
          <w:bCs/>
        </w:rPr>
        <w:tab/>
      </w:r>
      <w:r w:rsidR="00E87FF2">
        <w:rPr>
          <w:bCs/>
        </w:rPr>
        <w:tab/>
      </w:r>
      <w:r>
        <w:rPr>
          <w:bCs/>
        </w:rPr>
        <w:t xml:space="preserve">il D.R. n. 410 del 10/11/2014 con cui sono state definite le procedure di </w:t>
      </w:r>
      <w:r w:rsidR="00E87FF2">
        <w:rPr>
          <w:bCs/>
        </w:rPr>
        <w:tab/>
      </w:r>
      <w:r>
        <w:rPr>
          <w:bCs/>
        </w:rPr>
        <w:t xml:space="preserve">partecipazione </w:t>
      </w:r>
      <w:r w:rsidR="00E87FF2">
        <w:rPr>
          <w:bCs/>
        </w:rPr>
        <w:tab/>
      </w:r>
      <w:r>
        <w:rPr>
          <w:bCs/>
        </w:rPr>
        <w:t>alla prova scritta del TFA 2014/2015;</w:t>
      </w:r>
    </w:p>
    <w:p w:rsidR="00545C4F" w:rsidRDefault="00545C4F" w:rsidP="00545C4F">
      <w:pPr>
        <w:widowControl w:val="0"/>
        <w:autoSpaceDE w:val="0"/>
        <w:autoSpaceDN w:val="0"/>
        <w:adjustRightInd w:val="0"/>
        <w:spacing w:before="1"/>
        <w:ind w:left="993" w:right="63" w:hanging="993"/>
        <w:jc w:val="both"/>
        <w:rPr>
          <w:bCs/>
        </w:rPr>
      </w:pPr>
      <w:r>
        <w:rPr>
          <w:bCs/>
        </w:rPr>
        <w:t>VISTO</w:t>
      </w:r>
      <w:r>
        <w:rPr>
          <w:b/>
          <w:bCs/>
        </w:rPr>
        <w:tab/>
      </w:r>
      <w:r w:rsidR="00E87FF2">
        <w:rPr>
          <w:b/>
          <w:bCs/>
        </w:rPr>
        <w:tab/>
      </w:r>
      <w:r>
        <w:rPr>
          <w:bCs/>
        </w:rPr>
        <w:t xml:space="preserve">il D.R. 477 del 18/12/2014 sono state approvate le graduatorie di merito e definite le </w:t>
      </w:r>
      <w:r w:rsidR="00E87FF2">
        <w:rPr>
          <w:bCs/>
        </w:rPr>
        <w:tab/>
      </w:r>
      <w:r>
        <w:rPr>
          <w:bCs/>
        </w:rPr>
        <w:t>modalità di immatricolazione alle classi di concorso del TFA;</w:t>
      </w:r>
    </w:p>
    <w:p w:rsidR="00545C4F" w:rsidRDefault="00545C4F" w:rsidP="00545C4F">
      <w:pPr>
        <w:pStyle w:val="Rientrocorpodeltesto"/>
        <w:tabs>
          <w:tab w:val="left" w:pos="1560"/>
          <w:tab w:val="left" w:pos="1843"/>
        </w:tabs>
        <w:ind w:left="1418" w:hanging="1418"/>
      </w:pPr>
      <w:r>
        <w:t>VERIFICATO</w:t>
      </w:r>
      <w:r>
        <w:tab/>
        <w:t>che all’8 gennaio 2015, scadenza  del termine di presentazione delle domande di immatricolazione ai corsi di Tirocinio Formativo Attivo, per la classe A016 e A071 risultano  disponibili rispettivamente 2 e 8 posti;</w:t>
      </w:r>
    </w:p>
    <w:p w:rsidR="00545C4F" w:rsidRDefault="00545C4F" w:rsidP="00545C4F">
      <w:pPr>
        <w:pStyle w:val="Rientrocorpodeltesto"/>
        <w:tabs>
          <w:tab w:val="left" w:pos="1560"/>
          <w:tab w:val="left" w:pos="1843"/>
        </w:tabs>
        <w:ind w:left="1418" w:hanging="1418"/>
      </w:pPr>
      <w:r>
        <w:rPr>
          <w:rFonts w:eastAsiaTheme="minorHAnsi"/>
          <w:color w:val="000000"/>
          <w:lang w:eastAsia="en-US"/>
        </w:rPr>
        <w:t>VISTA</w:t>
      </w:r>
      <w:r>
        <w:rPr>
          <w:rFonts w:eastAsiaTheme="minorHAnsi"/>
          <w:color w:val="000000"/>
          <w:lang w:eastAsia="en-US"/>
        </w:rPr>
        <w:tab/>
        <w:t xml:space="preserve">la nota dell’Ufficio Scolastico Regionale </w:t>
      </w:r>
      <w:proofErr w:type="spellStart"/>
      <w:r>
        <w:rPr>
          <w:rFonts w:eastAsiaTheme="minorHAnsi"/>
          <w:color w:val="000000"/>
          <w:lang w:eastAsia="en-US"/>
        </w:rPr>
        <w:t>prot</w:t>
      </w:r>
      <w:proofErr w:type="spellEnd"/>
      <w:r>
        <w:rPr>
          <w:rFonts w:eastAsiaTheme="minorHAnsi"/>
          <w:color w:val="000000"/>
          <w:lang w:eastAsia="en-US"/>
        </w:rPr>
        <w:t xml:space="preserve">. AOODRPU n. 151/1 del 2/2/2015 con la quale è stata trasmessa la nota del  MIUR del 30 gennaio 2015 relativa alle procedure </w:t>
      </w:r>
      <w:r>
        <w:t xml:space="preserve"> di iscrizione e scorrimenti nelle graduatorie;</w:t>
      </w:r>
    </w:p>
    <w:p w:rsidR="00545C4F" w:rsidRDefault="00545C4F" w:rsidP="00545C4F">
      <w:pPr>
        <w:pStyle w:val="Rientrocorpodeltesto"/>
        <w:ind w:left="0" w:firstLine="0"/>
      </w:pPr>
      <w:r>
        <w:rPr>
          <w:rFonts w:eastAsiaTheme="minorHAnsi"/>
          <w:color w:val="000000"/>
          <w:lang w:eastAsia="en-US"/>
        </w:rPr>
        <w:lastRenderedPageBreak/>
        <w:t>VISTO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il D.R. n. 60 del 5 febbraio 2015, con cui </w:t>
      </w:r>
      <w:r>
        <w:t xml:space="preserve">per le classi di concorso A016 e A071,  i </w:t>
      </w:r>
      <w:r>
        <w:tab/>
      </w:r>
      <w:r>
        <w:tab/>
        <w:t xml:space="preserve">posti risultati vacanti sono stati messi a disposizione dei candidati  considerati idonei </w:t>
      </w:r>
      <w:r>
        <w:tab/>
      </w:r>
      <w:r>
        <w:tab/>
        <w:t>sec</w:t>
      </w:r>
      <w:r w:rsidR="00E87FF2">
        <w:t>ondo l’ordine delle graduatorie;</w:t>
      </w:r>
      <w:r>
        <w:t xml:space="preserve"> </w:t>
      </w:r>
    </w:p>
    <w:p w:rsidR="00E87FF2" w:rsidRPr="00526841" w:rsidRDefault="00E87FF2" w:rsidP="00E87FF2">
      <w:pPr>
        <w:pStyle w:val="Rientrocorpodeltesto"/>
        <w:tabs>
          <w:tab w:val="left" w:pos="1560"/>
          <w:tab w:val="left" w:pos="1843"/>
        </w:tabs>
        <w:ind w:left="1418" w:hanging="1418"/>
        <w:rPr>
          <w:i/>
        </w:rPr>
      </w:pPr>
      <w:r>
        <w:rPr>
          <w:rFonts w:eastAsiaTheme="minorHAnsi"/>
          <w:color w:val="000000"/>
          <w:lang w:eastAsia="en-US"/>
        </w:rPr>
        <w:t>VISTA</w:t>
      </w:r>
      <w:r>
        <w:rPr>
          <w:rFonts w:eastAsiaTheme="minorHAnsi"/>
          <w:color w:val="000000"/>
          <w:lang w:eastAsia="en-US"/>
        </w:rPr>
        <w:tab/>
        <w:t xml:space="preserve">la nota dell’Ufficio Scolastico Regionale </w:t>
      </w:r>
      <w:proofErr w:type="spellStart"/>
      <w:r>
        <w:rPr>
          <w:rFonts w:eastAsiaTheme="minorHAnsi"/>
          <w:color w:val="000000"/>
          <w:lang w:eastAsia="en-US"/>
        </w:rPr>
        <w:t>prot</w:t>
      </w:r>
      <w:proofErr w:type="spellEnd"/>
      <w:r>
        <w:rPr>
          <w:rFonts w:eastAsiaTheme="minorHAnsi"/>
          <w:color w:val="000000"/>
          <w:lang w:eastAsia="en-US"/>
        </w:rPr>
        <w:t>. AOODRPU n. 151/1 del 2/2/2015</w:t>
      </w:r>
      <w:r w:rsidR="00675BDA">
        <w:rPr>
          <w:rFonts w:eastAsiaTheme="minorHAnsi"/>
          <w:color w:val="000000"/>
          <w:lang w:eastAsia="en-US"/>
        </w:rPr>
        <w:t xml:space="preserve">, punto 1, </w:t>
      </w:r>
      <w:r>
        <w:rPr>
          <w:rFonts w:eastAsiaTheme="minorHAnsi"/>
          <w:color w:val="000000"/>
          <w:lang w:eastAsia="en-US"/>
        </w:rPr>
        <w:t xml:space="preserve"> con la quale è stata trasmessa la nota del  MIUR del 30 gennaio 2015 relativa alle procedure </w:t>
      </w:r>
      <w:r w:rsidRPr="00147280">
        <w:t xml:space="preserve"> </w:t>
      </w:r>
      <w:r>
        <w:t>di iscrizione e scorrimenti nelle graduatorie;</w:t>
      </w:r>
    </w:p>
    <w:p w:rsidR="00545C4F" w:rsidRPr="00545C4F" w:rsidRDefault="00545C4F" w:rsidP="00E7479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t>VISTA</w:t>
      </w:r>
      <w:r>
        <w:tab/>
      </w:r>
      <w:r w:rsidRPr="00545C4F">
        <w:rPr>
          <w:rFonts w:ascii="Times New Roman" w:eastAsia="Times New Roman" w:hAnsi="Times New Roman" w:cs="Times New Roman"/>
          <w:color w:val="auto"/>
          <w:lang w:eastAsia="it-IT"/>
        </w:rPr>
        <w:t>la nota del Ministero dell’Istruzione, dell’Univers</w:t>
      </w:r>
      <w:r>
        <w:rPr>
          <w:rFonts w:ascii="Times New Roman" w:eastAsia="Times New Roman" w:hAnsi="Times New Roman" w:cs="Times New Roman"/>
          <w:color w:val="auto"/>
          <w:lang w:eastAsia="it-IT"/>
        </w:rPr>
        <w:t>ità e della Ricerca n. 319 del 2</w:t>
      </w:r>
      <w:r w:rsidRPr="00545C4F">
        <w:rPr>
          <w:rFonts w:ascii="Times New Roman" w:eastAsia="Times New Roman" w:hAnsi="Times New Roman" w:cs="Times New Roman"/>
          <w:color w:val="auto"/>
          <w:lang w:eastAsia="it-IT"/>
        </w:rPr>
        <w:t xml:space="preserve">0 </w:t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 w:rsidRPr="00545C4F">
        <w:rPr>
          <w:rFonts w:ascii="Times New Roman" w:eastAsia="Times New Roman" w:hAnsi="Times New Roman" w:cs="Times New Roman"/>
          <w:color w:val="auto"/>
          <w:lang w:eastAsia="it-IT"/>
        </w:rPr>
        <w:t xml:space="preserve">febbraio 2015, avente per oggetto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- </w:t>
      </w:r>
      <w:r w:rsidRPr="00545C4F">
        <w:rPr>
          <w:rFonts w:ascii="Times New Roman" w:eastAsia="Times New Roman" w:hAnsi="Times New Roman" w:cs="Times New Roman"/>
          <w:color w:val="auto"/>
          <w:lang w:eastAsia="it-IT"/>
        </w:rPr>
        <w:t xml:space="preserve">Procedure TFA. Autorizzazione all’iscrizione </w:t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 w:rsidRPr="00545C4F">
        <w:rPr>
          <w:rFonts w:ascii="Times New Roman" w:eastAsia="Times New Roman" w:hAnsi="Times New Roman" w:cs="Times New Roman"/>
          <w:color w:val="auto"/>
          <w:lang w:eastAsia="it-IT"/>
        </w:rPr>
        <w:t>dei candidati idonei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-  </w:t>
      </w:r>
      <w:r w:rsidRPr="00E7479B">
        <w:rPr>
          <w:rFonts w:ascii="Times New Roman" w:eastAsia="Times New Roman" w:hAnsi="Times New Roman" w:cs="Times New Roman"/>
          <w:color w:val="auto"/>
          <w:lang w:eastAsia="it-IT"/>
        </w:rPr>
        <w:t>con cui il MIUR ha comunicato</w:t>
      </w:r>
      <w:r>
        <w:t xml:space="preserve"> che “</w:t>
      </w:r>
      <w:r w:rsidR="00FB50AE">
        <w:rPr>
          <w:i/>
          <w:sz w:val="23"/>
          <w:szCs w:val="23"/>
        </w:rPr>
        <w:t xml:space="preserve">appare opportuno, a </w:t>
      </w:r>
      <w:r w:rsidR="00FB50AE">
        <w:rPr>
          <w:i/>
          <w:sz w:val="23"/>
          <w:szCs w:val="23"/>
        </w:rPr>
        <w:tab/>
      </w:r>
      <w:r w:rsidR="00FB50AE">
        <w:rPr>
          <w:i/>
          <w:sz w:val="23"/>
          <w:szCs w:val="23"/>
        </w:rPr>
        <w:tab/>
      </w:r>
      <w:r w:rsidR="00FB50AE">
        <w:rPr>
          <w:i/>
          <w:sz w:val="23"/>
          <w:szCs w:val="23"/>
        </w:rPr>
        <w:tab/>
        <w:t>tutela</w:t>
      </w:r>
      <w:r w:rsidR="00FB50AE">
        <w:rPr>
          <w:i/>
          <w:sz w:val="23"/>
          <w:szCs w:val="23"/>
        </w:rPr>
        <w:tab/>
      </w:r>
      <w:r w:rsidRPr="00545C4F">
        <w:rPr>
          <w:i/>
          <w:sz w:val="23"/>
          <w:szCs w:val="23"/>
        </w:rPr>
        <w:t>dei candidati inseriti nelle graduatorie di me</w:t>
      </w:r>
      <w:r w:rsidR="00E7479B">
        <w:rPr>
          <w:i/>
          <w:sz w:val="23"/>
          <w:szCs w:val="23"/>
        </w:rPr>
        <w:t>rito del pres</w:t>
      </w:r>
      <w:r w:rsidR="00FB50AE">
        <w:rPr>
          <w:i/>
          <w:sz w:val="23"/>
          <w:szCs w:val="23"/>
        </w:rPr>
        <w:t xml:space="preserve">ente TFA II ciclo, </w:t>
      </w:r>
      <w:r w:rsidR="00FB50AE">
        <w:rPr>
          <w:i/>
          <w:sz w:val="23"/>
          <w:szCs w:val="23"/>
        </w:rPr>
        <w:tab/>
      </w:r>
      <w:r w:rsidR="00FB50AE">
        <w:rPr>
          <w:i/>
          <w:sz w:val="23"/>
          <w:szCs w:val="23"/>
        </w:rPr>
        <w:tab/>
      </w:r>
      <w:r w:rsidR="00FB50AE">
        <w:rPr>
          <w:i/>
          <w:sz w:val="23"/>
          <w:szCs w:val="23"/>
        </w:rPr>
        <w:tab/>
      </w:r>
      <w:r w:rsidRPr="00545C4F">
        <w:rPr>
          <w:i/>
          <w:sz w:val="23"/>
          <w:szCs w:val="23"/>
        </w:rPr>
        <w:t xml:space="preserve">autorizzare </w:t>
      </w:r>
      <w:r w:rsidR="00FB50AE">
        <w:rPr>
          <w:i/>
          <w:sz w:val="23"/>
          <w:szCs w:val="23"/>
        </w:rPr>
        <w:tab/>
      </w:r>
      <w:r w:rsidRPr="00545C4F">
        <w:rPr>
          <w:i/>
          <w:sz w:val="23"/>
          <w:szCs w:val="23"/>
        </w:rPr>
        <w:t xml:space="preserve">sin da ora le istituzioni accademiche a procedere all’immatricolazione dei </w:t>
      </w:r>
      <w:r w:rsidR="00FB50AE">
        <w:rPr>
          <w:i/>
          <w:sz w:val="23"/>
          <w:szCs w:val="23"/>
        </w:rPr>
        <w:tab/>
      </w:r>
      <w:r w:rsidR="00FB50AE">
        <w:rPr>
          <w:i/>
          <w:sz w:val="23"/>
          <w:szCs w:val="23"/>
        </w:rPr>
        <w:tab/>
      </w:r>
      <w:r w:rsidRPr="00545C4F">
        <w:rPr>
          <w:i/>
          <w:sz w:val="23"/>
          <w:szCs w:val="23"/>
        </w:rPr>
        <w:t>candidati oltre i</w:t>
      </w:r>
      <w:r>
        <w:rPr>
          <w:i/>
          <w:sz w:val="23"/>
          <w:szCs w:val="23"/>
        </w:rPr>
        <w:t xml:space="preserve"> l</w:t>
      </w:r>
      <w:r w:rsidR="00E87FF2">
        <w:rPr>
          <w:i/>
          <w:sz w:val="23"/>
          <w:szCs w:val="23"/>
        </w:rPr>
        <w:t xml:space="preserve">imiti </w:t>
      </w:r>
      <w:r w:rsidR="00FB50AE">
        <w:rPr>
          <w:i/>
          <w:sz w:val="23"/>
          <w:szCs w:val="23"/>
        </w:rPr>
        <w:tab/>
      </w:r>
      <w:r w:rsidR="00E87FF2">
        <w:rPr>
          <w:i/>
          <w:sz w:val="23"/>
          <w:szCs w:val="23"/>
        </w:rPr>
        <w:t>a suo tempo determinati”;</w:t>
      </w:r>
    </w:p>
    <w:p w:rsidR="00545C4F" w:rsidRDefault="00545C4F" w:rsidP="00E7479B">
      <w:pPr>
        <w:widowControl w:val="0"/>
        <w:autoSpaceDE w:val="0"/>
        <w:autoSpaceDN w:val="0"/>
        <w:adjustRightInd w:val="0"/>
        <w:spacing w:before="1"/>
        <w:ind w:left="993" w:right="63" w:hanging="993"/>
        <w:jc w:val="both"/>
        <w:rPr>
          <w:bCs/>
          <w:highlight w:val="yellow"/>
        </w:rPr>
      </w:pPr>
    </w:p>
    <w:p w:rsidR="00545C4F" w:rsidRDefault="00545C4F" w:rsidP="00545C4F">
      <w:pPr>
        <w:pStyle w:val="Rientrocorpodeltesto"/>
        <w:ind w:left="0" w:firstLine="0"/>
        <w:jc w:val="center"/>
      </w:pPr>
    </w:p>
    <w:p w:rsidR="00545C4F" w:rsidRDefault="00545C4F" w:rsidP="00545C4F">
      <w:pPr>
        <w:pStyle w:val="Rientrocorpodeltesto"/>
        <w:ind w:left="0" w:firstLine="0"/>
        <w:jc w:val="center"/>
      </w:pPr>
      <w:r>
        <w:t>DECRETA</w:t>
      </w:r>
      <w:r w:rsidR="00E87FF2">
        <w:t>:</w:t>
      </w:r>
    </w:p>
    <w:p w:rsidR="00E87FF2" w:rsidRDefault="00E87FF2" w:rsidP="00545C4F">
      <w:pPr>
        <w:pStyle w:val="Rientrocorpodeltesto"/>
        <w:ind w:left="0" w:firstLine="0"/>
        <w:jc w:val="center"/>
      </w:pPr>
    </w:p>
    <w:p w:rsidR="00545C4F" w:rsidRDefault="00E87FF2" w:rsidP="007A6F38">
      <w:pPr>
        <w:jc w:val="both"/>
      </w:pPr>
      <w:r>
        <w:t xml:space="preserve">Art. 1 - </w:t>
      </w:r>
      <w:r w:rsidR="00E7479B">
        <w:t xml:space="preserve">I candidati idonei nelle graduatorie del TFA  2014/2015 per le classi A016, A020, A033, </w:t>
      </w:r>
      <w:r>
        <w:t xml:space="preserve">A034, A035, </w:t>
      </w:r>
      <w:r w:rsidR="00E7479B">
        <w:t>A071 e A072 possono</w:t>
      </w:r>
      <w:r>
        <w:t xml:space="preserve"> procedere all’immatricolazione.</w:t>
      </w:r>
    </w:p>
    <w:p w:rsidR="00E7479B" w:rsidRDefault="00E7479B" w:rsidP="00545C4F"/>
    <w:p w:rsidR="00545C4F" w:rsidRDefault="00E87FF2" w:rsidP="007A6F38">
      <w:pPr>
        <w:jc w:val="both"/>
      </w:pPr>
      <w:r>
        <w:t xml:space="preserve">Art. 2 - </w:t>
      </w:r>
      <w:r w:rsidR="00E7479B" w:rsidRPr="00147280">
        <w:t xml:space="preserve">Gli interessati dovranno effettuare l’immatricolazione secondo le modalità previste </w:t>
      </w:r>
      <w:r w:rsidR="00E7479B">
        <w:t xml:space="preserve">da un avviso </w:t>
      </w:r>
      <w:r w:rsidR="00E7479B" w:rsidRPr="00147280">
        <w:t>per le procedure di immatricolazione ai cors</w:t>
      </w:r>
      <w:r w:rsidR="00E7479B">
        <w:t>i di Tirocinio Formativo Attivo, pubblicato sul sito ufficiale di questo Politecnico</w:t>
      </w:r>
      <w:r>
        <w:t>.</w:t>
      </w:r>
    </w:p>
    <w:p w:rsidR="00E87FF2" w:rsidRDefault="00E87FF2" w:rsidP="007A6F38">
      <w:pPr>
        <w:jc w:val="both"/>
      </w:pPr>
    </w:p>
    <w:p w:rsidR="00E87FF2" w:rsidRDefault="00E87FF2" w:rsidP="007A6F38">
      <w:pPr>
        <w:jc w:val="both"/>
      </w:pPr>
      <w:r>
        <w:t>Art. 3</w:t>
      </w:r>
      <w:r w:rsidR="00675BDA">
        <w:t xml:space="preserve"> –</w:t>
      </w:r>
      <w:r>
        <w:t xml:space="preserve"> </w:t>
      </w:r>
      <w:r w:rsidR="00675BDA">
        <w:t>Le direttive indicate nel presente decreto si intendono valide anche per i candidati ammessi con riserva a seguito di provvedimenti giurisdizionali.</w:t>
      </w:r>
    </w:p>
    <w:p w:rsidR="00E7479B" w:rsidRDefault="00E7479B" w:rsidP="007A6F38">
      <w:pPr>
        <w:jc w:val="both"/>
      </w:pPr>
    </w:p>
    <w:p w:rsidR="00E7479B" w:rsidRDefault="00E7479B" w:rsidP="007A6F38">
      <w:pPr>
        <w:jc w:val="both"/>
      </w:pPr>
    </w:p>
    <w:p w:rsidR="00545C4F" w:rsidRDefault="00545C4F" w:rsidP="007A6F38">
      <w:pPr>
        <w:jc w:val="both"/>
      </w:pPr>
      <w:r>
        <w:t xml:space="preserve">Bari, </w:t>
      </w:r>
      <w:r w:rsidR="00A07F4C">
        <w:t>3/3/2015</w:t>
      </w:r>
    </w:p>
    <w:p w:rsidR="00545C4F" w:rsidRDefault="00545C4F" w:rsidP="00545C4F">
      <w:pPr>
        <w:jc w:val="center"/>
      </w:pPr>
    </w:p>
    <w:p w:rsidR="00545C4F" w:rsidRDefault="00545C4F" w:rsidP="00545C4F">
      <w:pPr>
        <w:ind w:left="2832" w:firstLine="708"/>
        <w:jc w:val="center"/>
        <w:rPr>
          <w:lang w:val="de-DE"/>
        </w:rPr>
      </w:pPr>
      <w:r>
        <w:rPr>
          <w:lang w:val="de-DE"/>
        </w:rPr>
        <w:t>IL RETTORE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</w:tblGrid>
      <w:tr w:rsidR="00545C4F" w:rsidTr="00545C4F">
        <w:tc>
          <w:tcPr>
            <w:tcW w:w="4860" w:type="dxa"/>
            <w:hideMark/>
          </w:tcPr>
          <w:p w:rsidR="00545C4F" w:rsidRDefault="00A07F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f.to </w:t>
            </w:r>
            <w:bookmarkStart w:id="0" w:name="_GoBack"/>
            <w:bookmarkEnd w:id="0"/>
            <w:r w:rsidR="00545C4F">
              <w:rPr>
                <w:i/>
                <w:lang w:eastAsia="en-US"/>
              </w:rPr>
              <w:t xml:space="preserve">Prof. Ing. Eugenio Di </w:t>
            </w:r>
            <w:proofErr w:type="spellStart"/>
            <w:r w:rsidR="00545C4F">
              <w:rPr>
                <w:i/>
                <w:lang w:eastAsia="en-US"/>
              </w:rPr>
              <w:t>Sciascio</w:t>
            </w:r>
            <w:proofErr w:type="spellEnd"/>
          </w:p>
        </w:tc>
      </w:tr>
    </w:tbl>
    <w:p w:rsidR="00545C4F" w:rsidRDefault="00545C4F" w:rsidP="00545C4F">
      <w:pPr>
        <w:jc w:val="both"/>
      </w:pPr>
    </w:p>
    <w:p w:rsidR="00545C4F" w:rsidRDefault="00545C4F" w:rsidP="00545C4F"/>
    <w:p w:rsidR="00545C4F" w:rsidRDefault="00545C4F" w:rsidP="00545C4F"/>
    <w:p w:rsidR="00545C4F" w:rsidRDefault="00545C4F" w:rsidP="00545C4F"/>
    <w:p w:rsidR="00545C4F" w:rsidRDefault="00545C4F" w:rsidP="00545C4F"/>
    <w:p w:rsidR="00545C4F" w:rsidRDefault="00545C4F" w:rsidP="00545C4F">
      <w:pPr>
        <w:jc w:val="center"/>
        <w:rPr>
          <w:b/>
        </w:rPr>
      </w:pPr>
    </w:p>
    <w:p w:rsidR="00545C4F" w:rsidRDefault="00545C4F" w:rsidP="00545C4F">
      <w:pPr>
        <w:jc w:val="center"/>
        <w:rPr>
          <w:b/>
        </w:rPr>
      </w:pPr>
    </w:p>
    <w:p w:rsidR="00545C4F" w:rsidRDefault="00545C4F" w:rsidP="00545C4F">
      <w:pPr>
        <w:jc w:val="center"/>
        <w:rPr>
          <w:b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6974CF" w:rsidP="0054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totale  186 (anche </w:t>
      </w:r>
      <w:proofErr w:type="spellStart"/>
      <w:r>
        <w:rPr>
          <w:b/>
          <w:sz w:val="32"/>
          <w:szCs w:val="32"/>
        </w:rPr>
        <w:t>soprasn</w:t>
      </w:r>
      <w:proofErr w:type="spellEnd"/>
      <w:r>
        <w:rPr>
          <w:b/>
          <w:sz w:val="32"/>
          <w:szCs w:val="32"/>
        </w:rPr>
        <w:t>)</w:t>
      </w: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545C4F" w:rsidRDefault="00545C4F" w:rsidP="00545C4F">
      <w:pPr>
        <w:jc w:val="center"/>
        <w:rPr>
          <w:b/>
          <w:sz w:val="32"/>
          <w:szCs w:val="32"/>
        </w:rPr>
      </w:pPr>
    </w:p>
    <w:p w:rsidR="00307236" w:rsidRDefault="00307236"/>
    <w:sectPr w:rsidR="00307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4F"/>
    <w:rsid w:val="00307236"/>
    <w:rsid w:val="00545C4F"/>
    <w:rsid w:val="00675BDA"/>
    <w:rsid w:val="006974CF"/>
    <w:rsid w:val="007A6F38"/>
    <w:rsid w:val="00A07F4C"/>
    <w:rsid w:val="00C167D7"/>
    <w:rsid w:val="00E7479B"/>
    <w:rsid w:val="00E87FF2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545C4F"/>
    <w:pPr>
      <w:ind w:left="2160" w:hanging="21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45C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5C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C4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45C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545C4F"/>
    <w:pPr>
      <w:ind w:left="2160" w:hanging="21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45C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5C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C4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45C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a.cineca.it/documenti/DM_487_20_giugno_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fa.cineca.it/documenti/TFA_CALENDARIO_20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ruzione.it/allegati/2014/dd263_14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amm-p0253</dc:creator>
  <cp:lastModifiedBy>amm-p0253</cp:lastModifiedBy>
  <cp:revision>8</cp:revision>
  <dcterms:created xsi:type="dcterms:W3CDTF">2015-03-02T08:58:00Z</dcterms:created>
  <dcterms:modified xsi:type="dcterms:W3CDTF">2015-03-04T14:44:00Z</dcterms:modified>
</cp:coreProperties>
</file>