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CB0" w:rsidRPr="006A59D4" w:rsidRDefault="00361CB0" w:rsidP="006A59D4">
      <w:pPr>
        <w:spacing w:after="0" w:line="360" w:lineRule="auto"/>
        <w:jc w:val="both"/>
        <w:rPr>
          <w:rFonts w:ascii="Times New Roman" w:hAnsi="Times New Roman"/>
          <w:sz w:val="24"/>
          <w:szCs w:val="24"/>
        </w:rPr>
      </w:pPr>
      <w:r w:rsidRPr="006A59D4">
        <w:rPr>
          <w:rFonts w:ascii="Times New Roman" w:hAnsi="Times New Roman"/>
          <w:sz w:val="24"/>
          <w:szCs w:val="24"/>
          <w:u w:val="single"/>
        </w:rPr>
        <w:t xml:space="preserve">COMUNICAZIONE </w:t>
      </w:r>
      <w:r w:rsidR="00DF6935" w:rsidRPr="006A59D4">
        <w:rPr>
          <w:rFonts w:ascii="Times New Roman" w:hAnsi="Times New Roman"/>
          <w:sz w:val="24"/>
          <w:szCs w:val="24"/>
          <w:u w:val="single"/>
        </w:rPr>
        <w:t>del</w:t>
      </w:r>
      <w:r w:rsidRPr="006A59D4">
        <w:rPr>
          <w:rFonts w:ascii="Times New Roman" w:hAnsi="Times New Roman"/>
          <w:sz w:val="24"/>
          <w:szCs w:val="24"/>
          <w:u w:val="single"/>
        </w:rPr>
        <w:t xml:space="preserve"> </w:t>
      </w:r>
      <w:proofErr w:type="spellStart"/>
      <w:r w:rsidRPr="006A59D4">
        <w:rPr>
          <w:rFonts w:ascii="Times New Roman" w:hAnsi="Times New Roman"/>
          <w:sz w:val="24"/>
          <w:szCs w:val="24"/>
          <w:u w:val="single"/>
        </w:rPr>
        <w:t>PQA_POLIBA</w:t>
      </w:r>
      <w:proofErr w:type="spellEnd"/>
      <w:r w:rsidR="00DF6935" w:rsidRPr="006A59D4">
        <w:rPr>
          <w:rFonts w:ascii="Times New Roman" w:hAnsi="Times New Roman"/>
          <w:sz w:val="24"/>
          <w:szCs w:val="24"/>
          <w:u w:val="single"/>
        </w:rPr>
        <w:t xml:space="preserve"> in merito alle azioni di AQ in itinere </w:t>
      </w:r>
      <w:r w:rsidR="00170091">
        <w:rPr>
          <w:rFonts w:ascii="Times New Roman" w:hAnsi="Times New Roman"/>
          <w:sz w:val="24"/>
          <w:szCs w:val="24"/>
          <w:u w:val="single"/>
        </w:rPr>
        <w:t>nell’ateneo</w:t>
      </w:r>
      <w:r w:rsidR="00393F65">
        <w:rPr>
          <w:rFonts w:ascii="Times New Roman" w:hAnsi="Times New Roman"/>
          <w:sz w:val="24"/>
          <w:szCs w:val="24"/>
          <w:u w:val="single"/>
        </w:rPr>
        <w:t xml:space="preserve"> </w:t>
      </w:r>
      <w:r w:rsidR="00DF6935" w:rsidRPr="006A59D4">
        <w:rPr>
          <w:rFonts w:ascii="Times New Roman" w:hAnsi="Times New Roman"/>
          <w:sz w:val="24"/>
          <w:szCs w:val="24"/>
          <w:u w:val="single"/>
        </w:rPr>
        <w:t xml:space="preserve">e </w:t>
      </w:r>
      <w:r w:rsidR="00393F65">
        <w:rPr>
          <w:rFonts w:ascii="Times New Roman" w:hAnsi="Times New Roman"/>
          <w:sz w:val="24"/>
          <w:szCs w:val="24"/>
          <w:u w:val="single"/>
        </w:rPr>
        <w:t xml:space="preserve">ad </w:t>
      </w:r>
      <w:r w:rsidR="00DF6935" w:rsidRPr="006A59D4">
        <w:rPr>
          <w:rFonts w:ascii="Times New Roman" w:hAnsi="Times New Roman"/>
          <w:sz w:val="24"/>
          <w:szCs w:val="24"/>
          <w:u w:val="single"/>
        </w:rPr>
        <w:t>ulteriori interventi necessari -</w:t>
      </w:r>
      <w:r w:rsidRPr="006A59D4">
        <w:rPr>
          <w:rFonts w:ascii="Times New Roman" w:hAnsi="Times New Roman"/>
          <w:sz w:val="24"/>
          <w:szCs w:val="24"/>
          <w:u w:val="single"/>
        </w:rPr>
        <w:t xml:space="preserve"> </w:t>
      </w:r>
      <w:r w:rsidR="00B56186">
        <w:rPr>
          <w:rFonts w:ascii="Times New Roman" w:hAnsi="Times New Roman"/>
          <w:sz w:val="24"/>
          <w:szCs w:val="24"/>
          <w:u w:val="single"/>
        </w:rPr>
        <w:t>10</w:t>
      </w:r>
      <w:r w:rsidRPr="006A59D4">
        <w:rPr>
          <w:rFonts w:ascii="Times New Roman" w:hAnsi="Times New Roman"/>
          <w:sz w:val="24"/>
          <w:szCs w:val="24"/>
          <w:u w:val="single"/>
        </w:rPr>
        <w:t xml:space="preserve"> </w:t>
      </w:r>
      <w:r w:rsidR="00393F65">
        <w:rPr>
          <w:rFonts w:ascii="Times New Roman" w:hAnsi="Times New Roman"/>
          <w:sz w:val="24"/>
          <w:szCs w:val="24"/>
          <w:u w:val="single"/>
        </w:rPr>
        <w:t>Giugno</w:t>
      </w:r>
      <w:r w:rsidRPr="006A59D4">
        <w:rPr>
          <w:rFonts w:ascii="Times New Roman" w:hAnsi="Times New Roman"/>
          <w:sz w:val="24"/>
          <w:szCs w:val="24"/>
          <w:u w:val="single"/>
        </w:rPr>
        <w:t xml:space="preserve"> 2015</w:t>
      </w:r>
    </w:p>
    <w:p w:rsidR="008663F9" w:rsidRPr="006A59D4" w:rsidRDefault="008663F9" w:rsidP="006A59D4">
      <w:pPr>
        <w:spacing w:after="0" w:line="360" w:lineRule="auto"/>
        <w:jc w:val="both"/>
        <w:rPr>
          <w:rFonts w:ascii="Times New Roman" w:hAnsi="Times New Roman"/>
          <w:sz w:val="24"/>
          <w:szCs w:val="24"/>
        </w:rPr>
      </w:pPr>
    </w:p>
    <w:p w:rsidR="00752280" w:rsidRPr="006A59D4" w:rsidRDefault="00361CB0" w:rsidP="006A59D4">
      <w:pPr>
        <w:spacing w:after="0" w:line="360" w:lineRule="auto"/>
        <w:jc w:val="both"/>
        <w:rPr>
          <w:rFonts w:ascii="Times New Roman" w:hAnsi="Times New Roman"/>
          <w:sz w:val="24"/>
          <w:szCs w:val="24"/>
        </w:rPr>
      </w:pPr>
      <w:r w:rsidRPr="006A59D4">
        <w:rPr>
          <w:rFonts w:ascii="Times New Roman" w:hAnsi="Times New Roman"/>
          <w:sz w:val="24"/>
          <w:szCs w:val="24"/>
        </w:rPr>
        <w:t xml:space="preserve">Il presente documento </w:t>
      </w:r>
      <w:r w:rsidR="00170091">
        <w:rPr>
          <w:rFonts w:ascii="Times New Roman" w:hAnsi="Times New Roman"/>
          <w:sz w:val="24"/>
          <w:szCs w:val="24"/>
        </w:rPr>
        <w:t>tratta</w:t>
      </w:r>
      <w:r w:rsidRPr="006A59D4">
        <w:rPr>
          <w:rFonts w:ascii="Times New Roman" w:hAnsi="Times New Roman"/>
          <w:sz w:val="24"/>
          <w:szCs w:val="24"/>
        </w:rPr>
        <w:t xml:space="preserve"> diversi aspetti del sistema di ateneo </w:t>
      </w:r>
      <w:r w:rsidR="00170091">
        <w:rPr>
          <w:rFonts w:ascii="Times New Roman" w:hAnsi="Times New Roman"/>
          <w:sz w:val="24"/>
          <w:szCs w:val="24"/>
        </w:rPr>
        <w:t>per</w:t>
      </w:r>
      <w:r w:rsidR="00752280" w:rsidRPr="006A59D4">
        <w:rPr>
          <w:rFonts w:ascii="Times New Roman" w:hAnsi="Times New Roman"/>
          <w:sz w:val="24"/>
          <w:szCs w:val="24"/>
        </w:rPr>
        <w:t xml:space="preserve"> cui</w:t>
      </w:r>
      <w:r w:rsidRPr="006A59D4">
        <w:rPr>
          <w:rFonts w:ascii="Times New Roman" w:hAnsi="Times New Roman"/>
          <w:sz w:val="24"/>
          <w:szCs w:val="24"/>
        </w:rPr>
        <w:t xml:space="preserve"> il </w:t>
      </w:r>
      <w:proofErr w:type="spellStart"/>
      <w:r w:rsidRPr="006A59D4">
        <w:rPr>
          <w:rFonts w:ascii="Times New Roman" w:hAnsi="Times New Roman"/>
          <w:sz w:val="24"/>
          <w:szCs w:val="24"/>
        </w:rPr>
        <w:t>PQA_POLIBA</w:t>
      </w:r>
      <w:proofErr w:type="spellEnd"/>
      <w:r w:rsidR="00170091" w:rsidRPr="00170091">
        <w:rPr>
          <w:rFonts w:ascii="Times New Roman" w:hAnsi="Times New Roman"/>
          <w:sz w:val="24"/>
          <w:szCs w:val="24"/>
        </w:rPr>
        <w:t xml:space="preserve"> </w:t>
      </w:r>
      <w:r w:rsidR="00170091">
        <w:rPr>
          <w:rFonts w:ascii="Times New Roman" w:hAnsi="Times New Roman"/>
          <w:sz w:val="24"/>
          <w:szCs w:val="24"/>
        </w:rPr>
        <w:t xml:space="preserve">ritiene necessarie delle </w:t>
      </w:r>
      <w:r w:rsidR="00170091" w:rsidRPr="006A59D4">
        <w:rPr>
          <w:rFonts w:ascii="Times New Roman" w:hAnsi="Times New Roman"/>
          <w:sz w:val="24"/>
          <w:szCs w:val="24"/>
        </w:rPr>
        <w:t>azioni di miglioramento</w:t>
      </w:r>
      <w:r w:rsidR="00170091">
        <w:rPr>
          <w:rFonts w:ascii="Times New Roman" w:hAnsi="Times New Roman"/>
          <w:sz w:val="24"/>
          <w:szCs w:val="24"/>
        </w:rPr>
        <w:t xml:space="preserve"> (azioni ritenute prioritarie)</w:t>
      </w:r>
      <w:r w:rsidR="00752280" w:rsidRPr="006A59D4">
        <w:rPr>
          <w:rFonts w:ascii="Times New Roman" w:hAnsi="Times New Roman"/>
          <w:sz w:val="24"/>
          <w:szCs w:val="24"/>
        </w:rPr>
        <w:t xml:space="preserve">, a seguito di </w:t>
      </w:r>
      <w:r w:rsidR="00170091">
        <w:rPr>
          <w:rFonts w:ascii="Times New Roman" w:hAnsi="Times New Roman"/>
          <w:sz w:val="24"/>
          <w:szCs w:val="24"/>
        </w:rPr>
        <w:t xml:space="preserve">analisi </w:t>
      </w:r>
      <w:r w:rsidR="00752280" w:rsidRPr="006A59D4">
        <w:rPr>
          <w:rFonts w:ascii="Times New Roman" w:hAnsi="Times New Roman"/>
          <w:sz w:val="24"/>
          <w:szCs w:val="24"/>
        </w:rPr>
        <w:t xml:space="preserve">di cui ai </w:t>
      </w:r>
      <w:r w:rsidR="00170091">
        <w:rPr>
          <w:rFonts w:ascii="Times New Roman" w:hAnsi="Times New Roman"/>
          <w:sz w:val="24"/>
          <w:szCs w:val="24"/>
        </w:rPr>
        <w:t xml:space="preserve">Verbali delle </w:t>
      </w:r>
      <w:r w:rsidR="000342B8">
        <w:rPr>
          <w:rFonts w:ascii="Times New Roman" w:hAnsi="Times New Roman"/>
          <w:sz w:val="24"/>
          <w:szCs w:val="24"/>
        </w:rPr>
        <w:t xml:space="preserve">riunioni </w:t>
      </w:r>
      <w:r w:rsidR="00170091">
        <w:rPr>
          <w:rFonts w:ascii="Times New Roman" w:hAnsi="Times New Roman"/>
          <w:sz w:val="24"/>
          <w:szCs w:val="24"/>
        </w:rPr>
        <w:t xml:space="preserve">del PQA </w:t>
      </w:r>
      <w:r w:rsidR="00DF6935" w:rsidRPr="006A59D4">
        <w:rPr>
          <w:rFonts w:ascii="Times New Roman" w:hAnsi="Times New Roman"/>
          <w:sz w:val="24"/>
          <w:szCs w:val="24"/>
        </w:rPr>
        <w:t xml:space="preserve">e coerentemente con </w:t>
      </w:r>
      <w:r w:rsidR="000342B8">
        <w:rPr>
          <w:rFonts w:ascii="Times New Roman" w:hAnsi="Times New Roman"/>
          <w:sz w:val="24"/>
          <w:szCs w:val="24"/>
        </w:rPr>
        <w:t xml:space="preserve">le </w:t>
      </w:r>
      <w:r w:rsidR="00DF6935" w:rsidRPr="006A59D4">
        <w:rPr>
          <w:rFonts w:ascii="Times New Roman" w:hAnsi="Times New Roman"/>
          <w:sz w:val="24"/>
          <w:szCs w:val="24"/>
        </w:rPr>
        <w:t>COMUNICAZIONI precedenti</w:t>
      </w:r>
      <w:r w:rsidRPr="006A59D4">
        <w:rPr>
          <w:rFonts w:ascii="Times New Roman" w:hAnsi="Times New Roman"/>
          <w:sz w:val="24"/>
          <w:szCs w:val="24"/>
        </w:rPr>
        <w:t xml:space="preserve"> </w:t>
      </w:r>
      <w:r w:rsidR="006A59D4">
        <w:rPr>
          <w:rFonts w:ascii="Times New Roman" w:hAnsi="Times New Roman"/>
          <w:sz w:val="24"/>
          <w:szCs w:val="24"/>
        </w:rPr>
        <w:t>(</w:t>
      </w:r>
      <w:r w:rsidR="00DF6935" w:rsidRPr="006A59D4">
        <w:rPr>
          <w:rFonts w:ascii="Times New Roman" w:hAnsi="Times New Roman"/>
          <w:sz w:val="24"/>
          <w:szCs w:val="24"/>
        </w:rPr>
        <w:t>documenti rinvenibili sul sito web del PQA</w:t>
      </w:r>
      <w:r w:rsidR="006A59D4">
        <w:rPr>
          <w:rFonts w:ascii="Times New Roman" w:hAnsi="Times New Roman"/>
          <w:sz w:val="24"/>
          <w:szCs w:val="24"/>
        </w:rPr>
        <w:t>)</w:t>
      </w:r>
      <w:r w:rsidR="00DF6935" w:rsidRPr="006A59D4">
        <w:rPr>
          <w:rFonts w:ascii="Times New Roman" w:hAnsi="Times New Roman"/>
          <w:sz w:val="24"/>
          <w:szCs w:val="24"/>
        </w:rPr>
        <w:t>. P</w:t>
      </w:r>
      <w:r w:rsidR="006A59D4">
        <w:rPr>
          <w:rFonts w:ascii="Times New Roman" w:hAnsi="Times New Roman"/>
          <w:sz w:val="24"/>
          <w:szCs w:val="24"/>
        </w:rPr>
        <w:t xml:space="preserve">er diversi </w:t>
      </w:r>
      <w:r w:rsidR="00DF6935" w:rsidRPr="006A59D4">
        <w:rPr>
          <w:rFonts w:ascii="Times New Roman" w:hAnsi="Times New Roman"/>
          <w:sz w:val="24"/>
          <w:szCs w:val="24"/>
        </w:rPr>
        <w:t xml:space="preserve">aspetti il presente documento </w:t>
      </w:r>
      <w:r w:rsidR="006A59D4">
        <w:rPr>
          <w:rFonts w:ascii="Times New Roman" w:hAnsi="Times New Roman"/>
          <w:sz w:val="24"/>
          <w:szCs w:val="24"/>
        </w:rPr>
        <w:t>fornisce un aggiornamento circa</w:t>
      </w:r>
      <w:r w:rsidR="00DF6935" w:rsidRPr="006A59D4">
        <w:rPr>
          <w:rFonts w:ascii="Times New Roman" w:hAnsi="Times New Roman"/>
          <w:sz w:val="24"/>
          <w:szCs w:val="24"/>
        </w:rPr>
        <w:t xml:space="preserve"> </w:t>
      </w:r>
      <w:r w:rsidR="00170091">
        <w:rPr>
          <w:rFonts w:ascii="Times New Roman" w:hAnsi="Times New Roman"/>
          <w:sz w:val="24"/>
          <w:szCs w:val="24"/>
        </w:rPr>
        <w:t xml:space="preserve">le </w:t>
      </w:r>
      <w:r w:rsidR="00DF6935" w:rsidRPr="006A59D4">
        <w:rPr>
          <w:rFonts w:ascii="Times New Roman" w:hAnsi="Times New Roman"/>
          <w:sz w:val="24"/>
          <w:szCs w:val="24"/>
        </w:rPr>
        <w:t xml:space="preserve">azioni di AQ intraprese dall’ateneo, per altri </w:t>
      </w:r>
      <w:r w:rsidR="00170091">
        <w:rPr>
          <w:rFonts w:ascii="Times New Roman" w:hAnsi="Times New Roman"/>
          <w:sz w:val="24"/>
          <w:szCs w:val="24"/>
        </w:rPr>
        <w:t xml:space="preserve">aspetti </w:t>
      </w:r>
      <w:r w:rsidR="004A3C4F">
        <w:rPr>
          <w:rFonts w:ascii="Times New Roman" w:hAnsi="Times New Roman"/>
          <w:sz w:val="24"/>
          <w:szCs w:val="24"/>
        </w:rPr>
        <w:t xml:space="preserve">o </w:t>
      </w:r>
      <w:r w:rsidR="00DF6935" w:rsidRPr="006A59D4">
        <w:rPr>
          <w:rFonts w:ascii="Times New Roman" w:hAnsi="Times New Roman"/>
          <w:sz w:val="24"/>
          <w:szCs w:val="24"/>
        </w:rPr>
        <w:t xml:space="preserve">rimarca </w:t>
      </w:r>
      <w:r w:rsidR="00170091">
        <w:rPr>
          <w:rFonts w:ascii="Times New Roman" w:hAnsi="Times New Roman"/>
          <w:sz w:val="24"/>
          <w:szCs w:val="24"/>
        </w:rPr>
        <w:t xml:space="preserve">la </w:t>
      </w:r>
      <w:r w:rsidR="00DF6935" w:rsidRPr="006A59D4">
        <w:rPr>
          <w:rFonts w:ascii="Times New Roman" w:hAnsi="Times New Roman"/>
          <w:sz w:val="24"/>
          <w:szCs w:val="24"/>
        </w:rPr>
        <w:t xml:space="preserve">necessità </w:t>
      </w:r>
      <w:r w:rsidR="00170091">
        <w:rPr>
          <w:rFonts w:ascii="Times New Roman" w:hAnsi="Times New Roman"/>
          <w:sz w:val="24"/>
          <w:szCs w:val="24"/>
        </w:rPr>
        <w:t xml:space="preserve">di intervento, ove </w:t>
      </w:r>
      <w:r w:rsidR="00DF6935" w:rsidRPr="006A59D4">
        <w:rPr>
          <w:rFonts w:ascii="Times New Roman" w:hAnsi="Times New Roman"/>
          <w:sz w:val="24"/>
          <w:szCs w:val="24"/>
        </w:rPr>
        <w:t>già discuss</w:t>
      </w:r>
      <w:r w:rsidR="00170091">
        <w:rPr>
          <w:rFonts w:ascii="Times New Roman" w:hAnsi="Times New Roman"/>
          <w:sz w:val="24"/>
          <w:szCs w:val="24"/>
        </w:rPr>
        <w:t>a</w:t>
      </w:r>
      <w:r w:rsidR="00DF6935" w:rsidRPr="006A59D4">
        <w:rPr>
          <w:rFonts w:ascii="Times New Roman" w:hAnsi="Times New Roman"/>
          <w:sz w:val="24"/>
          <w:szCs w:val="24"/>
        </w:rPr>
        <w:t xml:space="preserve"> in </w:t>
      </w:r>
      <w:r w:rsidR="006A59D4">
        <w:rPr>
          <w:rFonts w:ascii="Times New Roman" w:hAnsi="Times New Roman"/>
          <w:sz w:val="24"/>
          <w:szCs w:val="24"/>
        </w:rPr>
        <w:t>COMUNICAZIONI</w:t>
      </w:r>
      <w:r w:rsidR="00DF6935" w:rsidRPr="006A59D4">
        <w:rPr>
          <w:rFonts w:ascii="Times New Roman" w:hAnsi="Times New Roman"/>
          <w:sz w:val="24"/>
          <w:szCs w:val="24"/>
        </w:rPr>
        <w:t xml:space="preserve"> precedenti, o </w:t>
      </w:r>
      <w:r w:rsidR="00170091">
        <w:rPr>
          <w:rFonts w:ascii="Times New Roman" w:hAnsi="Times New Roman"/>
          <w:sz w:val="24"/>
          <w:szCs w:val="24"/>
        </w:rPr>
        <w:t>ne presenta</w:t>
      </w:r>
      <w:r w:rsidR="00DF6935" w:rsidRPr="006A59D4">
        <w:rPr>
          <w:rFonts w:ascii="Times New Roman" w:hAnsi="Times New Roman"/>
          <w:sz w:val="24"/>
          <w:szCs w:val="24"/>
        </w:rPr>
        <w:t xml:space="preserve"> il sopravvenire</w:t>
      </w:r>
      <w:r w:rsidRPr="006A59D4">
        <w:rPr>
          <w:rFonts w:ascii="Times New Roman" w:hAnsi="Times New Roman"/>
          <w:sz w:val="24"/>
          <w:szCs w:val="24"/>
        </w:rPr>
        <w:t xml:space="preserve">. </w:t>
      </w:r>
      <w:r w:rsidR="006A59D4">
        <w:rPr>
          <w:rFonts w:ascii="Times New Roman" w:hAnsi="Times New Roman"/>
          <w:sz w:val="24"/>
          <w:szCs w:val="24"/>
        </w:rPr>
        <w:t xml:space="preserve">Quanto qui riportato si inserisce nel quadro di </w:t>
      </w:r>
      <w:r w:rsidR="006338EC">
        <w:rPr>
          <w:rFonts w:ascii="Times New Roman" w:hAnsi="Times New Roman"/>
          <w:sz w:val="24"/>
          <w:szCs w:val="24"/>
        </w:rPr>
        <w:t xml:space="preserve">indirizzo all’AQ di POLIBA </w:t>
      </w:r>
      <w:r w:rsidR="006A59D4">
        <w:rPr>
          <w:rFonts w:ascii="Times New Roman" w:hAnsi="Times New Roman"/>
          <w:sz w:val="24"/>
          <w:szCs w:val="24"/>
        </w:rPr>
        <w:t>che il PQA va sviluppando dal suo insediamento, secondo un processo dinamico di continua evoluzione ed ampliamento dell’analisi</w:t>
      </w:r>
      <w:r w:rsidR="006338EC">
        <w:rPr>
          <w:rFonts w:ascii="Times New Roman" w:hAnsi="Times New Roman"/>
          <w:sz w:val="24"/>
          <w:szCs w:val="24"/>
        </w:rPr>
        <w:t xml:space="preserve">, e contempla le informazioni che il PQA </w:t>
      </w:r>
      <w:r w:rsidR="0074196D">
        <w:rPr>
          <w:rFonts w:ascii="Times New Roman" w:hAnsi="Times New Roman"/>
          <w:sz w:val="24"/>
          <w:szCs w:val="24"/>
        </w:rPr>
        <w:t xml:space="preserve">ha ad oggi </w:t>
      </w:r>
      <w:r w:rsidR="006338EC">
        <w:rPr>
          <w:rFonts w:ascii="Times New Roman" w:hAnsi="Times New Roman"/>
          <w:sz w:val="24"/>
          <w:szCs w:val="24"/>
        </w:rPr>
        <w:t>acquisi</w:t>
      </w:r>
      <w:r w:rsidR="0074196D">
        <w:rPr>
          <w:rFonts w:ascii="Times New Roman" w:hAnsi="Times New Roman"/>
          <w:sz w:val="24"/>
          <w:szCs w:val="24"/>
        </w:rPr>
        <w:t>to</w:t>
      </w:r>
      <w:r w:rsidR="006338EC">
        <w:rPr>
          <w:rFonts w:ascii="Times New Roman" w:hAnsi="Times New Roman"/>
          <w:sz w:val="24"/>
          <w:szCs w:val="24"/>
        </w:rPr>
        <w:t xml:space="preserve"> dai numerosi attori d</w:t>
      </w:r>
      <w:r w:rsidR="0074196D">
        <w:rPr>
          <w:rFonts w:ascii="Times New Roman" w:hAnsi="Times New Roman"/>
          <w:sz w:val="24"/>
          <w:szCs w:val="24"/>
        </w:rPr>
        <w:t xml:space="preserve">i </w:t>
      </w:r>
      <w:r w:rsidR="006338EC">
        <w:rPr>
          <w:rFonts w:ascii="Times New Roman" w:hAnsi="Times New Roman"/>
          <w:sz w:val="24"/>
          <w:szCs w:val="24"/>
        </w:rPr>
        <w:t>AQ d</w:t>
      </w:r>
      <w:r w:rsidR="0074196D">
        <w:rPr>
          <w:rFonts w:ascii="Times New Roman" w:hAnsi="Times New Roman"/>
          <w:sz w:val="24"/>
          <w:szCs w:val="24"/>
        </w:rPr>
        <w:t>ell’</w:t>
      </w:r>
      <w:r w:rsidR="006338EC">
        <w:rPr>
          <w:rFonts w:ascii="Times New Roman" w:hAnsi="Times New Roman"/>
          <w:sz w:val="24"/>
          <w:szCs w:val="24"/>
        </w:rPr>
        <w:t>ateneo</w:t>
      </w:r>
      <w:r w:rsidR="006A59D4">
        <w:rPr>
          <w:rFonts w:ascii="Times New Roman" w:hAnsi="Times New Roman"/>
          <w:sz w:val="24"/>
          <w:szCs w:val="24"/>
        </w:rPr>
        <w:t>.</w:t>
      </w:r>
    </w:p>
    <w:p w:rsidR="00752280" w:rsidRPr="006A59D4" w:rsidRDefault="00752280" w:rsidP="006A59D4">
      <w:pPr>
        <w:spacing w:after="0" w:line="360" w:lineRule="auto"/>
        <w:jc w:val="both"/>
        <w:rPr>
          <w:rFonts w:ascii="Times New Roman" w:hAnsi="Times New Roman"/>
          <w:sz w:val="24"/>
          <w:szCs w:val="24"/>
        </w:rPr>
      </w:pPr>
    </w:p>
    <w:p w:rsidR="005C3E14" w:rsidRPr="005C3E14" w:rsidRDefault="005C3E14" w:rsidP="006A59D4">
      <w:pPr>
        <w:pStyle w:val="Paragrafoelenco"/>
        <w:numPr>
          <w:ilvl w:val="0"/>
          <w:numId w:val="2"/>
        </w:numPr>
        <w:spacing w:after="0" w:line="360" w:lineRule="auto"/>
        <w:ind w:left="0" w:firstLine="0"/>
        <w:jc w:val="both"/>
        <w:rPr>
          <w:rFonts w:ascii="Times New Roman" w:hAnsi="Times New Roman"/>
          <w:sz w:val="24"/>
          <w:szCs w:val="24"/>
          <w:u w:val="single"/>
        </w:rPr>
      </w:pPr>
      <w:r w:rsidRPr="005C3E14">
        <w:rPr>
          <w:rFonts w:ascii="Times New Roman" w:hAnsi="Times New Roman"/>
          <w:sz w:val="24"/>
          <w:szCs w:val="24"/>
          <w:u w:val="single"/>
        </w:rPr>
        <w:t xml:space="preserve">SISTEMA di AQ di ATENEO: </w:t>
      </w:r>
      <w:r>
        <w:rPr>
          <w:rFonts w:ascii="Times New Roman" w:hAnsi="Times New Roman"/>
          <w:sz w:val="24"/>
          <w:szCs w:val="24"/>
          <w:u w:val="single"/>
        </w:rPr>
        <w:t xml:space="preserve">debolezza del flusso informativo verso il </w:t>
      </w:r>
      <w:proofErr w:type="spellStart"/>
      <w:r>
        <w:rPr>
          <w:rFonts w:ascii="Times New Roman" w:hAnsi="Times New Roman"/>
          <w:sz w:val="24"/>
          <w:szCs w:val="24"/>
          <w:u w:val="single"/>
        </w:rPr>
        <w:t>PQA_POLIBA</w:t>
      </w:r>
      <w:proofErr w:type="spellEnd"/>
      <w:r w:rsidRPr="005C3E14">
        <w:rPr>
          <w:rFonts w:ascii="Times New Roman" w:hAnsi="Times New Roman"/>
          <w:sz w:val="24"/>
          <w:szCs w:val="24"/>
          <w:u w:val="single"/>
        </w:rPr>
        <w:t xml:space="preserve"> </w:t>
      </w:r>
    </w:p>
    <w:p w:rsidR="00E45425" w:rsidRDefault="00752280" w:rsidP="005C3E14">
      <w:pPr>
        <w:pStyle w:val="Paragrafoelenco"/>
        <w:spacing w:after="0" w:line="360" w:lineRule="auto"/>
        <w:ind w:left="0"/>
        <w:jc w:val="both"/>
        <w:rPr>
          <w:rFonts w:ascii="Times New Roman" w:hAnsi="Times New Roman"/>
          <w:sz w:val="24"/>
          <w:szCs w:val="24"/>
        </w:rPr>
      </w:pPr>
      <w:r w:rsidRPr="006A59D4">
        <w:rPr>
          <w:rFonts w:ascii="Times New Roman" w:hAnsi="Times New Roman"/>
          <w:sz w:val="24"/>
          <w:szCs w:val="24"/>
        </w:rPr>
        <w:t>P</w:t>
      </w:r>
      <w:r w:rsidR="00361CB0" w:rsidRPr="006A59D4">
        <w:rPr>
          <w:rFonts w:ascii="Times New Roman" w:hAnsi="Times New Roman"/>
          <w:sz w:val="24"/>
          <w:szCs w:val="24"/>
        </w:rPr>
        <w:t>erché l</w:t>
      </w:r>
      <w:r w:rsidRPr="006A59D4">
        <w:rPr>
          <w:rFonts w:ascii="Times New Roman" w:hAnsi="Times New Roman"/>
          <w:sz w:val="24"/>
          <w:szCs w:val="24"/>
        </w:rPr>
        <w:t>’</w:t>
      </w:r>
      <w:r w:rsidR="00361CB0" w:rsidRPr="006A59D4">
        <w:rPr>
          <w:rFonts w:ascii="Times New Roman" w:hAnsi="Times New Roman"/>
          <w:sz w:val="24"/>
          <w:szCs w:val="24"/>
        </w:rPr>
        <w:t xml:space="preserve">azione di indirizzo </w:t>
      </w:r>
      <w:r w:rsidRPr="006A59D4">
        <w:rPr>
          <w:rFonts w:ascii="Times New Roman" w:hAnsi="Times New Roman"/>
          <w:sz w:val="24"/>
          <w:szCs w:val="24"/>
        </w:rPr>
        <w:t xml:space="preserve">da parte del PQA </w:t>
      </w:r>
      <w:r w:rsidR="00361CB0" w:rsidRPr="006A59D4">
        <w:rPr>
          <w:rFonts w:ascii="Times New Roman" w:hAnsi="Times New Roman"/>
          <w:sz w:val="24"/>
          <w:szCs w:val="24"/>
        </w:rPr>
        <w:t xml:space="preserve">sia efficace e perché </w:t>
      </w:r>
      <w:r w:rsidR="0074196D" w:rsidRPr="006A59D4">
        <w:rPr>
          <w:rFonts w:ascii="Times New Roman" w:hAnsi="Times New Roman"/>
          <w:sz w:val="24"/>
          <w:szCs w:val="24"/>
        </w:rPr>
        <w:t xml:space="preserve">sia possibile per il PQA </w:t>
      </w:r>
      <w:r w:rsidR="00361CB0" w:rsidRPr="006A59D4">
        <w:rPr>
          <w:rFonts w:ascii="Times New Roman" w:hAnsi="Times New Roman"/>
          <w:sz w:val="24"/>
          <w:szCs w:val="24"/>
        </w:rPr>
        <w:t>il monitoraggio dell</w:t>
      </w:r>
      <w:r w:rsidRPr="006A59D4">
        <w:rPr>
          <w:rFonts w:ascii="Times New Roman" w:hAnsi="Times New Roman"/>
          <w:sz w:val="24"/>
          <w:szCs w:val="24"/>
        </w:rPr>
        <w:t>e attività di</w:t>
      </w:r>
      <w:r w:rsidR="00361CB0" w:rsidRPr="006A59D4">
        <w:rPr>
          <w:rFonts w:ascii="Times New Roman" w:hAnsi="Times New Roman"/>
          <w:sz w:val="24"/>
          <w:szCs w:val="24"/>
        </w:rPr>
        <w:t xml:space="preserve"> </w:t>
      </w:r>
      <w:r w:rsidR="005C3E14">
        <w:rPr>
          <w:rFonts w:ascii="Times New Roman" w:hAnsi="Times New Roman"/>
          <w:sz w:val="24"/>
          <w:szCs w:val="24"/>
        </w:rPr>
        <w:t>AQ</w:t>
      </w:r>
      <w:r w:rsidR="0074196D" w:rsidRPr="0074196D">
        <w:rPr>
          <w:rFonts w:ascii="Times New Roman" w:hAnsi="Times New Roman"/>
          <w:sz w:val="24"/>
          <w:szCs w:val="24"/>
        </w:rPr>
        <w:t xml:space="preserve"> </w:t>
      </w:r>
      <w:r w:rsidR="000342B8">
        <w:rPr>
          <w:rFonts w:ascii="Times New Roman" w:hAnsi="Times New Roman"/>
          <w:sz w:val="24"/>
          <w:szCs w:val="24"/>
        </w:rPr>
        <w:t xml:space="preserve">messe in atto nel </w:t>
      </w:r>
      <w:r w:rsidR="0074196D" w:rsidRPr="006A59D4">
        <w:rPr>
          <w:rFonts w:ascii="Times New Roman" w:hAnsi="Times New Roman"/>
          <w:sz w:val="24"/>
          <w:szCs w:val="24"/>
        </w:rPr>
        <w:t>POLIBA</w:t>
      </w:r>
      <w:r w:rsidR="0074196D">
        <w:rPr>
          <w:rFonts w:ascii="Times New Roman" w:hAnsi="Times New Roman"/>
          <w:sz w:val="24"/>
          <w:szCs w:val="24"/>
        </w:rPr>
        <w:t>,</w:t>
      </w:r>
      <w:r w:rsidR="005C3E14">
        <w:rPr>
          <w:rFonts w:ascii="Times New Roman" w:hAnsi="Times New Roman"/>
          <w:sz w:val="24"/>
          <w:szCs w:val="24"/>
        </w:rPr>
        <w:t xml:space="preserve"> </w:t>
      </w:r>
      <w:r w:rsidR="0074196D">
        <w:rPr>
          <w:rFonts w:ascii="Times New Roman" w:hAnsi="Times New Roman"/>
          <w:sz w:val="24"/>
          <w:szCs w:val="24"/>
        </w:rPr>
        <w:t xml:space="preserve">sia per </w:t>
      </w:r>
      <w:r w:rsidR="005C3E14">
        <w:rPr>
          <w:rFonts w:ascii="Times New Roman" w:hAnsi="Times New Roman"/>
          <w:sz w:val="24"/>
          <w:szCs w:val="24"/>
        </w:rPr>
        <w:t xml:space="preserve">la </w:t>
      </w:r>
      <w:r w:rsidR="00361CB0" w:rsidRPr="006A59D4">
        <w:rPr>
          <w:rFonts w:ascii="Times New Roman" w:hAnsi="Times New Roman"/>
          <w:sz w:val="24"/>
          <w:szCs w:val="24"/>
        </w:rPr>
        <w:t>formazione</w:t>
      </w:r>
      <w:r w:rsidR="0074196D">
        <w:rPr>
          <w:rFonts w:ascii="Times New Roman" w:hAnsi="Times New Roman"/>
          <w:sz w:val="24"/>
          <w:szCs w:val="24"/>
        </w:rPr>
        <w:t>, sia</w:t>
      </w:r>
      <w:r w:rsidR="00361CB0" w:rsidRPr="006A59D4">
        <w:rPr>
          <w:rFonts w:ascii="Times New Roman" w:hAnsi="Times New Roman"/>
          <w:sz w:val="24"/>
          <w:szCs w:val="24"/>
        </w:rPr>
        <w:t xml:space="preserve"> </w:t>
      </w:r>
      <w:r w:rsidR="0074196D">
        <w:rPr>
          <w:rFonts w:ascii="Times New Roman" w:hAnsi="Times New Roman"/>
          <w:sz w:val="24"/>
          <w:szCs w:val="24"/>
        </w:rPr>
        <w:t>p</w:t>
      </w:r>
      <w:r w:rsidR="00361CB0" w:rsidRPr="006A59D4">
        <w:rPr>
          <w:rFonts w:ascii="Times New Roman" w:hAnsi="Times New Roman"/>
          <w:sz w:val="24"/>
          <w:szCs w:val="24"/>
        </w:rPr>
        <w:t>e</w:t>
      </w:r>
      <w:r w:rsidR="0074196D">
        <w:rPr>
          <w:rFonts w:ascii="Times New Roman" w:hAnsi="Times New Roman"/>
          <w:sz w:val="24"/>
          <w:szCs w:val="24"/>
        </w:rPr>
        <w:t>r</w:t>
      </w:r>
      <w:r w:rsidR="00361CB0" w:rsidRPr="006A59D4">
        <w:rPr>
          <w:rFonts w:ascii="Times New Roman" w:hAnsi="Times New Roman"/>
          <w:sz w:val="24"/>
          <w:szCs w:val="24"/>
        </w:rPr>
        <w:t xml:space="preserve"> </w:t>
      </w:r>
      <w:r w:rsidR="005C3E14">
        <w:rPr>
          <w:rFonts w:ascii="Times New Roman" w:hAnsi="Times New Roman"/>
          <w:sz w:val="24"/>
          <w:szCs w:val="24"/>
        </w:rPr>
        <w:t>la</w:t>
      </w:r>
      <w:r w:rsidR="00361CB0" w:rsidRPr="006A59D4">
        <w:rPr>
          <w:rFonts w:ascii="Times New Roman" w:hAnsi="Times New Roman"/>
          <w:sz w:val="24"/>
          <w:szCs w:val="24"/>
        </w:rPr>
        <w:t xml:space="preserve"> ricerca</w:t>
      </w:r>
      <w:r w:rsidR="000342B8">
        <w:rPr>
          <w:rFonts w:ascii="Times New Roman" w:hAnsi="Times New Roman"/>
          <w:sz w:val="24"/>
          <w:szCs w:val="24"/>
        </w:rPr>
        <w:t xml:space="preserve"> e la terza missione</w:t>
      </w:r>
      <w:r w:rsidR="0074196D">
        <w:rPr>
          <w:rFonts w:ascii="Times New Roman" w:hAnsi="Times New Roman"/>
          <w:sz w:val="24"/>
          <w:szCs w:val="24"/>
        </w:rPr>
        <w:t>,</w:t>
      </w:r>
      <w:r w:rsidR="00361CB0" w:rsidRPr="006A59D4">
        <w:rPr>
          <w:rFonts w:ascii="Times New Roman" w:hAnsi="Times New Roman"/>
          <w:sz w:val="24"/>
          <w:szCs w:val="24"/>
        </w:rPr>
        <w:t xml:space="preserve"> </w:t>
      </w:r>
      <w:r w:rsidR="0074196D">
        <w:rPr>
          <w:rFonts w:ascii="Times New Roman" w:hAnsi="Times New Roman"/>
          <w:sz w:val="24"/>
          <w:szCs w:val="24"/>
        </w:rPr>
        <w:t xml:space="preserve">si </w:t>
      </w:r>
      <w:r w:rsidRPr="006A59D4">
        <w:rPr>
          <w:rFonts w:ascii="Times New Roman" w:hAnsi="Times New Roman"/>
          <w:sz w:val="24"/>
          <w:szCs w:val="24"/>
        </w:rPr>
        <w:t xml:space="preserve">chiede che si </w:t>
      </w:r>
      <w:r w:rsidR="00166E53">
        <w:rPr>
          <w:rFonts w:ascii="Times New Roman" w:hAnsi="Times New Roman"/>
          <w:sz w:val="24"/>
          <w:szCs w:val="24"/>
        </w:rPr>
        <w:t>sistematizzi un flusso informativo da</w:t>
      </w:r>
      <w:r w:rsidR="0074196D">
        <w:rPr>
          <w:rFonts w:ascii="Times New Roman" w:hAnsi="Times New Roman"/>
          <w:sz w:val="24"/>
          <w:szCs w:val="24"/>
        </w:rPr>
        <w:t>l</w:t>
      </w:r>
      <w:r w:rsidR="00166E53">
        <w:rPr>
          <w:rFonts w:ascii="Times New Roman" w:hAnsi="Times New Roman"/>
          <w:sz w:val="24"/>
          <w:szCs w:val="24"/>
        </w:rPr>
        <w:t xml:space="preserve"> sistema di AQ di ateneo</w:t>
      </w:r>
      <w:r w:rsidR="0074196D" w:rsidRPr="0074196D">
        <w:rPr>
          <w:rFonts w:ascii="Times New Roman" w:hAnsi="Times New Roman"/>
          <w:sz w:val="24"/>
          <w:szCs w:val="24"/>
        </w:rPr>
        <w:t xml:space="preserve"> </w:t>
      </w:r>
      <w:r w:rsidR="0074196D">
        <w:rPr>
          <w:rFonts w:ascii="Times New Roman" w:hAnsi="Times New Roman"/>
          <w:sz w:val="24"/>
          <w:szCs w:val="24"/>
        </w:rPr>
        <w:t>verso il PQA</w:t>
      </w:r>
      <w:r w:rsidR="00166E53">
        <w:rPr>
          <w:rFonts w:ascii="Times New Roman" w:hAnsi="Times New Roman"/>
          <w:sz w:val="24"/>
          <w:szCs w:val="24"/>
        </w:rPr>
        <w:t>. Sino ad oggi il PQA ha svolto una intensa azione di indirizzo all’AQ di ateneo</w:t>
      </w:r>
      <w:r w:rsidR="00B8490C">
        <w:rPr>
          <w:rFonts w:ascii="Times New Roman" w:hAnsi="Times New Roman"/>
          <w:sz w:val="24"/>
          <w:szCs w:val="24"/>
        </w:rPr>
        <w:t>,</w:t>
      </w:r>
      <w:r w:rsidR="00166E53">
        <w:rPr>
          <w:rFonts w:ascii="Times New Roman" w:hAnsi="Times New Roman"/>
          <w:sz w:val="24"/>
          <w:szCs w:val="24"/>
        </w:rPr>
        <w:t xml:space="preserve"> </w:t>
      </w:r>
      <w:r w:rsidR="00B8490C">
        <w:rPr>
          <w:rFonts w:ascii="Times New Roman" w:hAnsi="Times New Roman"/>
          <w:sz w:val="24"/>
          <w:szCs w:val="24"/>
        </w:rPr>
        <w:t>c</w:t>
      </w:r>
      <w:r w:rsidR="00166E53">
        <w:rPr>
          <w:rFonts w:ascii="Times New Roman" w:hAnsi="Times New Roman"/>
          <w:sz w:val="24"/>
          <w:szCs w:val="24"/>
        </w:rPr>
        <w:t xml:space="preserve">onseguente ad analisi delle criticità e delle debolezze del sistema e coerentemente con quanto richiesto dall’AVA. </w:t>
      </w:r>
      <w:r w:rsidR="0074196D">
        <w:rPr>
          <w:rFonts w:ascii="Times New Roman" w:hAnsi="Times New Roman"/>
          <w:sz w:val="24"/>
          <w:szCs w:val="24"/>
        </w:rPr>
        <w:t xml:space="preserve">Si è potuto </w:t>
      </w:r>
      <w:r w:rsidR="00166E53">
        <w:rPr>
          <w:rFonts w:ascii="Times New Roman" w:hAnsi="Times New Roman"/>
          <w:sz w:val="24"/>
          <w:szCs w:val="24"/>
        </w:rPr>
        <w:t>riscontra</w:t>
      </w:r>
      <w:r w:rsidR="0074196D">
        <w:rPr>
          <w:rFonts w:ascii="Times New Roman" w:hAnsi="Times New Roman"/>
          <w:sz w:val="24"/>
          <w:szCs w:val="24"/>
        </w:rPr>
        <w:t>re</w:t>
      </w:r>
      <w:r w:rsidR="00166E53">
        <w:rPr>
          <w:rFonts w:ascii="Times New Roman" w:hAnsi="Times New Roman"/>
          <w:sz w:val="24"/>
          <w:szCs w:val="24"/>
        </w:rPr>
        <w:t xml:space="preserve"> che </w:t>
      </w:r>
      <w:r w:rsidR="0074196D">
        <w:rPr>
          <w:rFonts w:ascii="Times New Roman" w:hAnsi="Times New Roman"/>
          <w:sz w:val="24"/>
          <w:szCs w:val="24"/>
        </w:rPr>
        <w:t xml:space="preserve">ad oggi sono state intraprese molte delle </w:t>
      </w:r>
      <w:r w:rsidR="00166E53">
        <w:rPr>
          <w:rFonts w:ascii="Times New Roman" w:hAnsi="Times New Roman"/>
          <w:sz w:val="24"/>
          <w:szCs w:val="24"/>
        </w:rPr>
        <w:t>azioni suggerite, ma nella maggior parte dei casi tale riscontro è stato informale</w:t>
      </w:r>
      <w:r w:rsidR="00AE1434">
        <w:rPr>
          <w:rFonts w:ascii="Times New Roman" w:hAnsi="Times New Roman"/>
          <w:sz w:val="24"/>
          <w:szCs w:val="24"/>
        </w:rPr>
        <w:t>,</w:t>
      </w:r>
      <w:r w:rsidR="00166E53">
        <w:rPr>
          <w:rFonts w:ascii="Times New Roman" w:hAnsi="Times New Roman"/>
          <w:sz w:val="24"/>
          <w:szCs w:val="24"/>
        </w:rPr>
        <w:t xml:space="preserve"> o casuale. Ciò </w:t>
      </w:r>
      <w:r w:rsidR="0074196D">
        <w:rPr>
          <w:rFonts w:ascii="Times New Roman" w:hAnsi="Times New Roman"/>
          <w:sz w:val="24"/>
          <w:szCs w:val="24"/>
        </w:rPr>
        <w:t xml:space="preserve">rende </w:t>
      </w:r>
      <w:r w:rsidR="00166E53">
        <w:rPr>
          <w:rFonts w:ascii="Times New Roman" w:hAnsi="Times New Roman"/>
          <w:sz w:val="24"/>
          <w:szCs w:val="24"/>
        </w:rPr>
        <w:t>difficile per il PQA fornire quell’ulteriore supporto per l’ottimizzazione d</w:t>
      </w:r>
      <w:r w:rsidR="0074196D">
        <w:rPr>
          <w:rFonts w:ascii="Times New Roman" w:hAnsi="Times New Roman"/>
          <w:sz w:val="24"/>
          <w:szCs w:val="24"/>
        </w:rPr>
        <w:t>elle</w:t>
      </w:r>
      <w:r w:rsidR="00166E53">
        <w:rPr>
          <w:rFonts w:ascii="Times New Roman" w:hAnsi="Times New Roman"/>
          <w:sz w:val="24"/>
          <w:szCs w:val="24"/>
        </w:rPr>
        <w:t xml:space="preserve"> azioni</w:t>
      </w:r>
      <w:r w:rsidR="0074196D">
        <w:rPr>
          <w:rFonts w:ascii="Times New Roman" w:hAnsi="Times New Roman"/>
          <w:sz w:val="24"/>
          <w:szCs w:val="24"/>
        </w:rPr>
        <w:t xml:space="preserve"> di AQ in itinere</w:t>
      </w:r>
      <w:r w:rsidR="00166E53">
        <w:rPr>
          <w:rFonts w:ascii="Times New Roman" w:hAnsi="Times New Roman"/>
          <w:sz w:val="24"/>
          <w:szCs w:val="24"/>
        </w:rPr>
        <w:t xml:space="preserve">. Altresì, si sono verificate diverse occasioni in cui il PQA non ha avuto notizia di informative ANVUR rivolte a </w:t>
      </w:r>
      <w:proofErr w:type="spellStart"/>
      <w:r w:rsidR="00166E53">
        <w:rPr>
          <w:rFonts w:ascii="Times New Roman" w:hAnsi="Times New Roman"/>
          <w:sz w:val="24"/>
          <w:szCs w:val="24"/>
        </w:rPr>
        <w:t>PoliBA</w:t>
      </w:r>
      <w:proofErr w:type="spellEnd"/>
      <w:r w:rsidR="000342B8">
        <w:rPr>
          <w:rFonts w:ascii="Times New Roman" w:hAnsi="Times New Roman"/>
          <w:sz w:val="24"/>
          <w:szCs w:val="24"/>
        </w:rPr>
        <w:t xml:space="preserve"> indirizzate agli organi di governo</w:t>
      </w:r>
      <w:r w:rsidR="00166E53">
        <w:rPr>
          <w:rFonts w:ascii="Times New Roman" w:hAnsi="Times New Roman"/>
          <w:sz w:val="24"/>
          <w:szCs w:val="24"/>
        </w:rPr>
        <w:t>, su tematiche oggetto di attenzione del PQA (ad es. relative all</w:t>
      </w:r>
      <w:r w:rsidR="00B8490C">
        <w:rPr>
          <w:rFonts w:ascii="Times New Roman" w:hAnsi="Times New Roman"/>
          <w:sz w:val="24"/>
          <w:szCs w:val="24"/>
        </w:rPr>
        <w:t>e</w:t>
      </w:r>
      <w:r w:rsidR="00166E53">
        <w:rPr>
          <w:rFonts w:ascii="Times New Roman" w:hAnsi="Times New Roman"/>
          <w:sz w:val="24"/>
          <w:szCs w:val="24"/>
        </w:rPr>
        <w:t xml:space="preserve"> SUA RD, alle SUA </w:t>
      </w:r>
      <w:proofErr w:type="spellStart"/>
      <w:r w:rsidR="00166E53">
        <w:rPr>
          <w:rFonts w:ascii="Times New Roman" w:hAnsi="Times New Roman"/>
          <w:sz w:val="24"/>
          <w:szCs w:val="24"/>
        </w:rPr>
        <w:t>CdS</w:t>
      </w:r>
      <w:proofErr w:type="spellEnd"/>
      <w:r w:rsidR="00166E53">
        <w:rPr>
          <w:rFonts w:ascii="Times New Roman" w:hAnsi="Times New Roman"/>
          <w:sz w:val="24"/>
          <w:szCs w:val="24"/>
        </w:rPr>
        <w:t xml:space="preserve"> ecc.). </w:t>
      </w:r>
    </w:p>
    <w:p w:rsidR="00361CB0" w:rsidRDefault="0033246F" w:rsidP="00B8490C">
      <w:pPr>
        <w:spacing w:after="0" w:line="360" w:lineRule="auto"/>
        <w:jc w:val="both"/>
        <w:rPr>
          <w:rFonts w:ascii="Times New Roman" w:hAnsi="Times New Roman"/>
          <w:sz w:val="24"/>
          <w:szCs w:val="24"/>
        </w:rPr>
      </w:pPr>
      <w:r>
        <w:rPr>
          <w:rFonts w:ascii="Times New Roman" w:hAnsi="Times New Roman"/>
          <w:sz w:val="24"/>
          <w:szCs w:val="24"/>
        </w:rPr>
        <w:t xml:space="preserve">Pur </w:t>
      </w:r>
      <w:r w:rsidR="00E45425">
        <w:rPr>
          <w:rFonts w:ascii="Times New Roman" w:hAnsi="Times New Roman"/>
          <w:sz w:val="24"/>
          <w:szCs w:val="24"/>
        </w:rPr>
        <w:t>cons</w:t>
      </w:r>
      <w:r w:rsidR="0074196D">
        <w:rPr>
          <w:rFonts w:ascii="Times New Roman" w:hAnsi="Times New Roman"/>
          <w:sz w:val="24"/>
          <w:szCs w:val="24"/>
        </w:rPr>
        <w:t xml:space="preserve">apevole che questa inerzia del flusso informativo è intrinseca alla fase di organizzazione </w:t>
      </w:r>
      <w:r w:rsidR="00E45425">
        <w:rPr>
          <w:rFonts w:ascii="Times New Roman" w:hAnsi="Times New Roman"/>
          <w:sz w:val="24"/>
          <w:szCs w:val="24"/>
        </w:rPr>
        <w:t>del</w:t>
      </w:r>
      <w:r w:rsidR="0074196D">
        <w:rPr>
          <w:rFonts w:ascii="Times New Roman" w:hAnsi="Times New Roman"/>
          <w:sz w:val="24"/>
          <w:szCs w:val="24"/>
        </w:rPr>
        <w:t xml:space="preserve"> sistema di </w:t>
      </w:r>
      <w:r w:rsidR="00E45425">
        <w:rPr>
          <w:rFonts w:ascii="Times New Roman" w:hAnsi="Times New Roman"/>
          <w:sz w:val="24"/>
          <w:szCs w:val="24"/>
        </w:rPr>
        <w:t>AQ</w:t>
      </w:r>
      <w:r w:rsidR="0074196D">
        <w:rPr>
          <w:rFonts w:ascii="Times New Roman" w:hAnsi="Times New Roman"/>
          <w:sz w:val="24"/>
          <w:szCs w:val="24"/>
        </w:rPr>
        <w:t xml:space="preserve"> di Ateneo</w:t>
      </w:r>
      <w:r w:rsidR="004A3C4F">
        <w:rPr>
          <w:rFonts w:ascii="Times New Roman" w:hAnsi="Times New Roman"/>
          <w:sz w:val="24"/>
          <w:szCs w:val="24"/>
        </w:rPr>
        <w:t>,</w:t>
      </w:r>
      <w:r>
        <w:rPr>
          <w:rFonts w:ascii="Times New Roman" w:hAnsi="Times New Roman"/>
          <w:sz w:val="24"/>
          <w:szCs w:val="24"/>
        </w:rPr>
        <w:t xml:space="preserve"> ove </w:t>
      </w:r>
      <w:r w:rsidR="0074196D">
        <w:rPr>
          <w:rFonts w:ascii="Times New Roman" w:hAnsi="Times New Roman"/>
          <w:sz w:val="24"/>
          <w:szCs w:val="24"/>
        </w:rPr>
        <w:t xml:space="preserve"> </w:t>
      </w:r>
      <w:r w:rsidR="00E45425">
        <w:rPr>
          <w:rFonts w:ascii="Times New Roman" w:hAnsi="Times New Roman"/>
          <w:sz w:val="24"/>
          <w:szCs w:val="24"/>
        </w:rPr>
        <w:t>la chiusura virtuosa del circuito informativo</w:t>
      </w:r>
      <w:r w:rsidR="00B8490C">
        <w:rPr>
          <w:rFonts w:ascii="Times New Roman" w:hAnsi="Times New Roman"/>
          <w:sz w:val="24"/>
          <w:szCs w:val="24"/>
        </w:rPr>
        <w:t xml:space="preserve"> </w:t>
      </w:r>
      <w:r w:rsidR="00E46A6B">
        <w:rPr>
          <w:rFonts w:ascii="Times New Roman" w:hAnsi="Times New Roman"/>
          <w:sz w:val="24"/>
          <w:szCs w:val="24"/>
        </w:rPr>
        <w:t>non si è potuta ancora attuare</w:t>
      </w:r>
      <w:r>
        <w:rPr>
          <w:rFonts w:ascii="Times New Roman" w:hAnsi="Times New Roman"/>
          <w:sz w:val="24"/>
          <w:szCs w:val="24"/>
        </w:rPr>
        <w:t>, il</w:t>
      </w:r>
      <w:r w:rsidR="00E46A6B">
        <w:rPr>
          <w:rFonts w:ascii="Times New Roman" w:hAnsi="Times New Roman"/>
          <w:sz w:val="24"/>
          <w:szCs w:val="24"/>
        </w:rPr>
        <w:t xml:space="preserve"> PQA ritiene </w:t>
      </w:r>
      <w:r w:rsidR="00FA428A">
        <w:rPr>
          <w:rFonts w:ascii="Times New Roman" w:hAnsi="Times New Roman"/>
          <w:sz w:val="24"/>
          <w:szCs w:val="24"/>
        </w:rPr>
        <w:t>tuttavia importante che</w:t>
      </w:r>
      <w:r w:rsidR="004A3C4F">
        <w:rPr>
          <w:rFonts w:ascii="Times New Roman" w:hAnsi="Times New Roman"/>
          <w:sz w:val="24"/>
          <w:szCs w:val="24"/>
        </w:rPr>
        <w:t>,</w:t>
      </w:r>
      <w:r w:rsidR="00FA428A">
        <w:rPr>
          <w:rFonts w:ascii="Times New Roman" w:hAnsi="Times New Roman"/>
          <w:sz w:val="24"/>
          <w:szCs w:val="24"/>
        </w:rPr>
        <w:t xml:space="preserve"> a livello di Ateneo</w:t>
      </w:r>
      <w:r w:rsidR="004A3C4F">
        <w:rPr>
          <w:rFonts w:ascii="Times New Roman" w:hAnsi="Times New Roman"/>
          <w:sz w:val="24"/>
          <w:szCs w:val="24"/>
        </w:rPr>
        <w:t>,</w:t>
      </w:r>
      <w:r w:rsidR="00FA428A">
        <w:rPr>
          <w:rFonts w:ascii="Times New Roman" w:hAnsi="Times New Roman"/>
          <w:sz w:val="24"/>
          <w:szCs w:val="24"/>
        </w:rPr>
        <w:t xml:space="preserve"> si</w:t>
      </w:r>
      <w:r w:rsidR="004A3C4F">
        <w:rPr>
          <w:rFonts w:ascii="Times New Roman" w:hAnsi="Times New Roman"/>
          <w:sz w:val="24"/>
          <w:szCs w:val="24"/>
        </w:rPr>
        <w:t xml:space="preserve"> attui un</w:t>
      </w:r>
      <w:r w:rsidR="00FA428A">
        <w:rPr>
          <w:rFonts w:ascii="Times New Roman" w:hAnsi="Times New Roman"/>
          <w:sz w:val="24"/>
          <w:szCs w:val="24"/>
        </w:rPr>
        <w:t xml:space="preserve"> l’impegno </w:t>
      </w:r>
      <w:proofErr w:type="spellStart"/>
      <w:r w:rsidR="00FA428A">
        <w:rPr>
          <w:rFonts w:ascii="Times New Roman" w:hAnsi="Times New Roman"/>
          <w:sz w:val="24"/>
          <w:szCs w:val="24"/>
        </w:rPr>
        <w:t>a</w:t>
      </w:r>
      <w:r w:rsidR="004A3C4F">
        <w:rPr>
          <w:rFonts w:ascii="Times New Roman" w:hAnsi="Times New Roman"/>
          <w:sz w:val="24"/>
          <w:szCs w:val="24"/>
        </w:rPr>
        <w:t>cchè</w:t>
      </w:r>
      <w:proofErr w:type="spellEnd"/>
      <w:r w:rsidR="00FA428A">
        <w:rPr>
          <w:rFonts w:ascii="Times New Roman" w:hAnsi="Times New Roman"/>
          <w:sz w:val="24"/>
          <w:szCs w:val="24"/>
        </w:rPr>
        <w:t xml:space="preserve"> il </w:t>
      </w:r>
      <w:r w:rsidR="00E46A6B">
        <w:rPr>
          <w:rFonts w:ascii="Times New Roman" w:hAnsi="Times New Roman"/>
          <w:sz w:val="24"/>
          <w:szCs w:val="24"/>
        </w:rPr>
        <w:t xml:space="preserve"> flusso informativo</w:t>
      </w:r>
      <w:r w:rsidR="00535EA7">
        <w:rPr>
          <w:rFonts w:ascii="Times New Roman" w:hAnsi="Times New Roman"/>
          <w:sz w:val="24"/>
          <w:szCs w:val="24"/>
        </w:rPr>
        <w:t xml:space="preserve"> si </w:t>
      </w:r>
      <w:r w:rsidR="00FA428A">
        <w:rPr>
          <w:rFonts w:ascii="Times New Roman" w:hAnsi="Times New Roman"/>
          <w:sz w:val="24"/>
          <w:szCs w:val="24"/>
        </w:rPr>
        <w:t>complet</w:t>
      </w:r>
      <w:r w:rsidR="004A3C4F">
        <w:rPr>
          <w:rFonts w:ascii="Times New Roman" w:hAnsi="Times New Roman"/>
          <w:sz w:val="24"/>
          <w:szCs w:val="24"/>
        </w:rPr>
        <w:t>i</w:t>
      </w:r>
      <w:r w:rsidR="00FA428A">
        <w:rPr>
          <w:rFonts w:ascii="Times New Roman" w:hAnsi="Times New Roman"/>
          <w:sz w:val="24"/>
          <w:szCs w:val="24"/>
        </w:rPr>
        <w:t xml:space="preserve"> verso e da tutti i soggetti coinvolti nell’AQ</w:t>
      </w:r>
      <w:r w:rsidR="00E46A6B">
        <w:rPr>
          <w:rFonts w:ascii="Times New Roman" w:hAnsi="Times New Roman"/>
          <w:sz w:val="24"/>
          <w:szCs w:val="24"/>
        </w:rPr>
        <w:t>, a</w:t>
      </w:r>
      <w:r w:rsidR="0074196D">
        <w:rPr>
          <w:rFonts w:ascii="Times New Roman" w:hAnsi="Times New Roman"/>
          <w:sz w:val="24"/>
          <w:szCs w:val="24"/>
        </w:rPr>
        <w:t xml:space="preserve">l fine di limitare </w:t>
      </w:r>
      <w:r w:rsidR="00E45425">
        <w:rPr>
          <w:rFonts w:ascii="Times New Roman" w:hAnsi="Times New Roman"/>
          <w:sz w:val="24"/>
          <w:szCs w:val="24"/>
        </w:rPr>
        <w:t>l’insorgere di disfunzioni. Quest</w:t>
      </w:r>
      <w:r w:rsidR="00535EA7">
        <w:rPr>
          <w:rFonts w:ascii="Times New Roman" w:hAnsi="Times New Roman"/>
          <w:sz w:val="24"/>
          <w:szCs w:val="24"/>
        </w:rPr>
        <w:t>o</w:t>
      </w:r>
      <w:r w:rsidR="00E45425">
        <w:rPr>
          <w:rFonts w:ascii="Times New Roman" w:hAnsi="Times New Roman"/>
          <w:sz w:val="24"/>
          <w:szCs w:val="24"/>
        </w:rPr>
        <w:t xml:space="preserve"> può essere facilmente perseguit</w:t>
      </w:r>
      <w:r w:rsidR="00535EA7">
        <w:rPr>
          <w:rFonts w:ascii="Times New Roman" w:hAnsi="Times New Roman"/>
          <w:sz w:val="24"/>
          <w:szCs w:val="24"/>
        </w:rPr>
        <w:t>o</w:t>
      </w:r>
      <w:r w:rsidR="00E45425">
        <w:rPr>
          <w:rFonts w:ascii="Times New Roman" w:hAnsi="Times New Roman"/>
          <w:sz w:val="24"/>
          <w:szCs w:val="24"/>
        </w:rPr>
        <w:t xml:space="preserve"> </w:t>
      </w:r>
      <w:r w:rsidR="00E46A6B">
        <w:rPr>
          <w:rFonts w:ascii="Times New Roman" w:hAnsi="Times New Roman"/>
          <w:sz w:val="24"/>
          <w:szCs w:val="24"/>
        </w:rPr>
        <w:t xml:space="preserve">attraverso </w:t>
      </w:r>
      <w:r w:rsidR="004A3C4F">
        <w:rPr>
          <w:rFonts w:ascii="Times New Roman" w:hAnsi="Times New Roman"/>
          <w:sz w:val="24"/>
          <w:szCs w:val="24"/>
        </w:rPr>
        <w:t xml:space="preserve">una programmazione di </w:t>
      </w:r>
      <w:r w:rsidR="00E45425">
        <w:rPr>
          <w:rFonts w:ascii="Times New Roman" w:hAnsi="Times New Roman"/>
          <w:sz w:val="24"/>
          <w:szCs w:val="24"/>
        </w:rPr>
        <w:t xml:space="preserve">aggiornamenti </w:t>
      </w:r>
      <w:r w:rsidR="004A3C4F">
        <w:rPr>
          <w:rFonts w:ascii="Times New Roman" w:hAnsi="Times New Roman"/>
          <w:sz w:val="24"/>
          <w:szCs w:val="24"/>
        </w:rPr>
        <w:t xml:space="preserve">del PQA </w:t>
      </w:r>
      <w:r w:rsidR="00E45425">
        <w:rPr>
          <w:rFonts w:ascii="Times New Roman" w:hAnsi="Times New Roman"/>
          <w:sz w:val="24"/>
          <w:szCs w:val="24"/>
        </w:rPr>
        <w:t xml:space="preserve">circa le azioni svolte </w:t>
      </w:r>
      <w:r w:rsidR="004A3C4F">
        <w:rPr>
          <w:rFonts w:ascii="Times New Roman" w:hAnsi="Times New Roman"/>
          <w:sz w:val="24"/>
          <w:szCs w:val="24"/>
        </w:rPr>
        <w:t xml:space="preserve">e, al contempo, sistematizzando l’invio di tutte le informazioni utili, </w:t>
      </w:r>
      <w:r w:rsidR="00E46A6B">
        <w:rPr>
          <w:rFonts w:ascii="Times New Roman" w:hAnsi="Times New Roman"/>
          <w:sz w:val="24"/>
          <w:szCs w:val="24"/>
        </w:rPr>
        <w:t xml:space="preserve">via </w:t>
      </w:r>
      <w:r w:rsidR="00E45425">
        <w:rPr>
          <w:rFonts w:ascii="Times New Roman" w:hAnsi="Times New Roman"/>
          <w:sz w:val="24"/>
          <w:szCs w:val="24"/>
        </w:rPr>
        <w:t>e</w:t>
      </w:r>
      <w:r w:rsidR="0003402D">
        <w:rPr>
          <w:rFonts w:ascii="Times New Roman" w:hAnsi="Times New Roman"/>
          <w:sz w:val="24"/>
          <w:szCs w:val="24"/>
        </w:rPr>
        <w:t>-</w:t>
      </w:r>
      <w:r w:rsidR="00E45425">
        <w:rPr>
          <w:rFonts w:ascii="Times New Roman" w:hAnsi="Times New Roman"/>
          <w:sz w:val="24"/>
          <w:szCs w:val="24"/>
        </w:rPr>
        <w:t>mail</w:t>
      </w:r>
      <w:r w:rsidR="004A3C4F">
        <w:rPr>
          <w:rFonts w:ascii="Times New Roman" w:hAnsi="Times New Roman"/>
          <w:sz w:val="24"/>
          <w:szCs w:val="24"/>
        </w:rPr>
        <w:t>,</w:t>
      </w:r>
      <w:r w:rsidR="00E45425">
        <w:rPr>
          <w:rFonts w:ascii="Times New Roman" w:hAnsi="Times New Roman"/>
          <w:sz w:val="24"/>
          <w:szCs w:val="24"/>
        </w:rPr>
        <w:t xml:space="preserve"> al presidente del PQA</w:t>
      </w:r>
      <w:r w:rsidR="00E46A6B">
        <w:rPr>
          <w:rFonts w:ascii="Times New Roman" w:hAnsi="Times New Roman"/>
          <w:sz w:val="24"/>
          <w:szCs w:val="24"/>
        </w:rPr>
        <w:t xml:space="preserve"> da parte degli attori di AQ</w:t>
      </w:r>
      <w:r w:rsidR="00E45425">
        <w:rPr>
          <w:rFonts w:ascii="Times New Roman" w:hAnsi="Times New Roman"/>
          <w:sz w:val="24"/>
          <w:szCs w:val="24"/>
        </w:rPr>
        <w:t xml:space="preserve">. </w:t>
      </w:r>
      <w:r w:rsidR="00E46A6B">
        <w:rPr>
          <w:rFonts w:ascii="Times New Roman" w:hAnsi="Times New Roman"/>
          <w:sz w:val="24"/>
          <w:szCs w:val="24"/>
        </w:rPr>
        <w:t>A</w:t>
      </w:r>
      <w:r w:rsidR="00E45425">
        <w:rPr>
          <w:rFonts w:ascii="Times New Roman" w:hAnsi="Times New Roman"/>
          <w:sz w:val="24"/>
          <w:szCs w:val="24"/>
        </w:rPr>
        <w:t xml:space="preserve"> </w:t>
      </w:r>
      <w:r w:rsidR="00E45425">
        <w:rPr>
          <w:rFonts w:ascii="Times New Roman" w:hAnsi="Times New Roman"/>
          <w:sz w:val="24"/>
          <w:szCs w:val="24"/>
        </w:rPr>
        <w:lastRenderedPageBreak/>
        <w:t xml:space="preserve">riguardo delle informative ANVUR, si chiede che queste vengano sempre inviate al PQA, che ha il compito di monitorare l’interazione tra l’Ateneo e l’ANVUR. </w:t>
      </w:r>
    </w:p>
    <w:p w:rsidR="004A3C4F" w:rsidRDefault="004A3C4F" w:rsidP="00B8490C">
      <w:pPr>
        <w:spacing w:after="0" w:line="360" w:lineRule="auto"/>
        <w:jc w:val="both"/>
        <w:rPr>
          <w:rFonts w:ascii="Times New Roman" w:hAnsi="Times New Roman"/>
          <w:sz w:val="24"/>
          <w:szCs w:val="24"/>
        </w:rPr>
      </w:pPr>
    </w:p>
    <w:p w:rsidR="00B8490C" w:rsidRPr="00497184" w:rsidRDefault="00B8490C" w:rsidP="006A59D4">
      <w:pPr>
        <w:pStyle w:val="Paragrafoelenco"/>
        <w:numPr>
          <w:ilvl w:val="0"/>
          <w:numId w:val="2"/>
        </w:numPr>
        <w:spacing w:after="0" w:line="360" w:lineRule="auto"/>
        <w:ind w:left="0" w:firstLine="0"/>
        <w:jc w:val="both"/>
        <w:rPr>
          <w:rFonts w:ascii="Times New Roman" w:hAnsi="Times New Roman"/>
          <w:sz w:val="24"/>
          <w:szCs w:val="24"/>
          <w:u w:val="single"/>
        </w:rPr>
      </w:pPr>
      <w:r w:rsidRPr="00497184">
        <w:rPr>
          <w:rFonts w:ascii="Times New Roman" w:hAnsi="Times New Roman"/>
          <w:sz w:val="24"/>
          <w:szCs w:val="24"/>
          <w:u w:val="single"/>
        </w:rPr>
        <w:t>MONITORAGGIO DELLA FORMAZIONE</w:t>
      </w:r>
    </w:p>
    <w:p w:rsidR="00BC35E6" w:rsidRDefault="00497184" w:rsidP="00B8490C">
      <w:pPr>
        <w:pStyle w:val="Paragrafoelenco"/>
        <w:spacing w:after="0" w:line="360" w:lineRule="auto"/>
        <w:ind w:left="0"/>
        <w:jc w:val="both"/>
        <w:rPr>
          <w:rFonts w:ascii="Times New Roman" w:hAnsi="Times New Roman"/>
          <w:sz w:val="24"/>
          <w:szCs w:val="24"/>
        </w:rPr>
      </w:pPr>
      <w:r>
        <w:rPr>
          <w:rFonts w:ascii="Times New Roman" w:hAnsi="Times New Roman"/>
          <w:sz w:val="24"/>
          <w:szCs w:val="24"/>
        </w:rPr>
        <w:t>In molti documenti e verbali precedenti, così come al punto C d</w:t>
      </w:r>
      <w:r w:rsidR="0077723C">
        <w:rPr>
          <w:rFonts w:ascii="Times New Roman" w:hAnsi="Times New Roman"/>
          <w:sz w:val="24"/>
          <w:szCs w:val="24"/>
        </w:rPr>
        <w:t>ell</w:t>
      </w:r>
      <w:r>
        <w:rPr>
          <w:rFonts w:ascii="Times New Roman" w:hAnsi="Times New Roman"/>
          <w:sz w:val="24"/>
          <w:szCs w:val="24"/>
        </w:rPr>
        <w:t>’ultima</w:t>
      </w:r>
      <w:r w:rsidR="0077723C">
        <w:rPr>
          <w:rFonts w:ascii="Times New Roman" w:hAnsi="Times New Roman"/>
          <w:sz w:val="24"/>
          <w:szCs w:val="24"/>
        </w:rPr>
        <w:t xml:space="preserve"> COMUNICAZIONE </w:t>
      </w:r>
      <w:r>
        <w:rPr>
          <w:rFonts w:ascii="Times New Roman" w:hAnsi="Times New Roman"/>
          <w:sz w:val="24"/>
          <w:szCs w:val="24"/>
        </w:rPr>
        <w:t xml:space="preserve">del PQA, </w:t>
      </w:r>
      <w:r w:rsidR="0077723C">
        <w:rPr>
          <w:rFonts w:ascii="Times New Roman" w:hAnsi="Times New Roman"/>
          <w:sz w:val="24"/>
          <w:szCs w:val="24"/>
        </w:rPr>
        <w:t xml:space="preserve">Aprile 2015 </w:t>
      </w:r>
      <w:r w:rsidR="00544B8E">
        <w:rPr>
          <w:rFonts w:ascii="Times New Roman" w:hAnsi="Times New Roman"/>
          <w:sz w:val="24"/>
          <w:szCs w:val="24"/>
        </w:rPr>
        <w:t xml:space="preserve">(web </w:t>
      </w:r>
      <w:proofErr w:type="spellStart"/>
      <w:r w:rsidR="00544B8E">
        <w:rPr>
          <w:rFonts w:ascii="Times New Roman" w:hAnsi="Times New Roman"/>
          <w:sz w:val="24"/>
          <w:szCs w:val="24"/>
        </w:rPr>
        <w:t>PQA_POLIBA</w:t>
      </w:r>
      <w:proofErr w:type="spellEnd"/>
      <w:r w:rsidR="00544B8E">
        <w:rPr>
          <w:rFonts w:ascii="Times New Roman" w:hAnsi="Times New Roman"/>
          <w:sz w:val="24"/>
          <w:szCs w:val="24"/>
        </w:rPr>
        <w:t>)</w:t>
      </w:r>
      <w:r>
        <w:rPr>
          <w:rFonts w:ascii="Times New Roman" w:hAnsi="Times New Roman"/>
          <w:sz w:val="24"/>
          <w:szCs w:val="24"/>
        </w:rPr>
        <w:t>,</w:t>
      </w:r>
      <w:r w:rsidR="00544B8E">
        <w:rPr>
          <w:rFonts w:ascii="Times New Roman" w:hAnsi="Times New Roman"/>
          <w:sz w:val="24"/>
          <w:szCs w:val="24"/>
        </w:rPr>
        <w:t xml:space="preserve"> </w:t>
      </w:r>
      <w:r w:rsidR="0077723C">
        <w:rPr>
          <w:rFonts w:ascii="Times New Roman" w:hAnsi="Times New Roman"/>
          <w:sz w:val="24"/>
          <w:szCs w:val="24"/>
        </w:rPr>
        <w:t xml:space="preserve">il PQA </w:t>
      </w:r>
      <w:r w:rsidR="00544B8E">
        <w:rPr>
          <w:rFonts w:ascii="Times New Roman" w:hAnsi="Times New Roman"/>
          <w:sz w:val="24"/>
          <w:szCs w:val="24"/>
        </w:rPr>
        <w:t xml:space="preserve">ha trattato lo stato delle conoscenze presso </w:t>
      </w:r>
      <w:proofErr w:type="spellStart"/>
      <w:r w:rsidR="00544B8E">
        <w:rPr>
          <w:rFonts w:ascii="Times New Roman" w:hAnsi="Times New Roman"/>
          <w:sz w:val="24"/>
          <w:szCs w:val="24"/>
        </w:rPr>
        <w:t>PoliBA</w:t>
      </w:r>
      <w:proofErr w:type="spellEnd"/>
      <w:r w:rsidR="00544B8E">
        <w:rPr>
          <w:rFonts w:ascii="Times New Roman" w:hAnsi="Times New Roman"/>
          <w:sz w:val="24"/>
          <w:szCs w:val="24"/>
        </w:rPr>
        <w:t xml:space="preserve"> de</w:t>
      </w:r>
      <w:r w:rsidR="00BC35E6">
        <w:rPr>
          <w:rFonts w:ascii="Times New Roman" w:hAnsi="Times New Roman"/>
          <w:sz w:val="24"/>
          <w:szCs w:val="24"/>
        </w:rPr>
        <w:t>ll’andamento del</w:t>
      </w:r>
      <w:r w:rsidR="00544B8E">
        <w:rPr>
          <w:rFonts w:ascii="Times New Roman" w:hAnsi="Times New Roman"/>
          <w:sz w:val="24"/>
          <w:szCs w:val="24"/>
        </w:rPr>
        <w:t xml:space="preserve"> percorso formativo dei propri studenti, </w:t>
      </w:r>
      <w:r w:rsidR="00FA428A">
        <w:rPr>
          <w:rFonts w:ascii="Times New Roman" w:hAnsi="Times New Roman"/>
          <w:sz w:val="24"/>
          <w:szCs w:val="24"/>
        </w:rPr>
        <w:t xml:space="preserve">così come distillato </w:t>
      </w:r>
      <w:r w:rsidR="00544B8E">
        <w:rPr>
          <w:rFonts w:ascii="Times New Roman" w:hAnsi="Times New Roman"/>
          <w:sz w:val="24"/>
          <w:szCs w:val="24"/>
        </w:rPr>
        <w:t>dai dati degli archivi ESSE3 e ANS. La cura di queste conoscenze, attraverso l’elaborazione e l’analisi dei dati ESSE3 e ANS</w:t>
      </w:r>
      <w:r w:rsidR="00AE1434">
        <w:rPr>
          <w:rFonts w:ascii="Times New Roman" w:hAnsi="Times New Roman"/>
          <w:sz w:val="24"/>
          <w:szCs w:val="24"/>
        </w:rPr>
        <w:t>,</w:t>
      </w:r>
      <w:r w:rsidR="00544B8E">
        <w:rPr>
          <w:rFonts w:ascii="Times New Roman" w:hAnsi="Times New Roman"/>
          <w:sz w:val="24"/>
          <w:szCs w:val="24"/>
        </w:rPr>
        <w:t xml:space="preserve"> è stata da sempre ritenuta una priorità, dato che la valutazione dell’ateneo svolta dal MIUR è prioritariamente basata </w:t>
      </w:r>
      <w:r w:rsidR="00FA428A">
        <w:rPr>
          <w:rFonts w:ascii="Times New Roman" w:hAnsi="Times New Roman"/>
          <w:sz w:val="24"/>
          <w:szCs w:val="24"/>
        </w:rPr>
        <w:t xml:space="preserve">sui ben noti set di indicatori relativi al </w:t>
      </w:r>
      <w:r w:rsidR="00544B8E">
        <w:rPr>
          <w:rFonts w:ascii="Times New Roman" w:hAnsi="Times New Roman"/>
          <w:sz w:val="24"/>
          <w:szCs w:val="24"/>
        </w:rPr>
        <w:t>percorso degli student</w:t>
      </w:r>
      <w:r w:rsidR="00BC35E6">
        <w:rPr>
          <w:rFonts w:ascii="Times New Roman" w:hAnsi="Times New Roman"/>
          <w:sz w:val="24"/>
          <w:szCs w:val="24"/>
        </w:rPr>
        <w:t>i.</w:t>
      </w:r>
    </w:p>
    <w:p w:rsidR="00E46A6B" w:rsidRDefault="00BC35E6" w:rsidP="00B8490C">
      <w:pPr>
        <w:pStyle w:val="Paragrafoelenco"/>
        <w:spacing w:after="0" w:line="360" w:lineRule="auto"/>
        <w:ind w:left="0"/>
        <w:jc w:val="both"/>
        <w:rPr>
          <w:rFonts w:ascii="Times New Roman" w:hAnsi="Times New Roman"/>
          <w:sz w:val="24"/>
          <w:szCs w:val="24"/>
        </w:rPr>
      </w:pPr>
      <w:r>
        <w:rPr>
          <w:rFonts w:ascii="Times New Roman" w:hAnsi="Times New Roman"/>
          <w:sz w:val="24"/>
          <w:szCs w:val="24"/>
        </w:rPr>
        <w:t>S</w:t>
      </w:r>
      <w:r w:rsidRPr="00BC35E6">
        <w:rPr>
          <w:rFonts w:ascii="Times New Roman" w:hAnsi="Times New Roman"/>
          <w:sz w:val="24"/>
          <w:szCs w:val="24"/>
        </w:rPr>
        <w:t xml:space="preserve">olo un efficiente monitoraggio dell’andamento del percorso formativo degli studenti consente di formulare motivate valutazioni </w:t>
      </w:r>
      <w:r w:rsidR="00544B8E">
        <w:rPr>
          <w:rFonts w:ascii="Times New Roman" w:hAnsi="Times New Roman"/>
          <w:sz w:val="24"/>
          <w:szCs w:val="24"/>
        </w:rPr>
        <w:t xml:space="preserve">sia della quantità e </w:t>
      </w:r>
      <w:r w:rsidR="00E46A6B">
        <w:rPr>
          <w:rFonts w:ascii="Times New Roman" w:hAnsi="Times New Roman"/>
          <w:sz w:val="24"/>
          <w:szCs w:val="24"/>
        </w:rPr>
        <w:t xml:space="preserve">della </w:t>
      </w:r>
      <w:r w:rsidR="00544B8E">
        <w:rPr>
          <w:rFonts w:ascii="Times New Roman" w:hAnsi="Times New Roman"/>
          <w:sz w:val="24"/>
          <w:szCs w:val="24"/>
        </w:rPr>
        <w:t xml:space="preserve">qualità della formazione erogata, sia delle criticità </w:t>
      </w:r>
      <w:r w:rsidR="00E46A6B">
        <w:rPr>
          <w:rFonts w:ascii="Times New Roman" w:hAnsi="Times New Roman"/>
          <w:sz w:val="24"/>
          <w:szCs w:val="24"/>
        </w:rPr>
        <w:t xml:space="preserve">che </w:t>
      </w:r>
      <w:r w:rsidR="00544B8E">
        <w:rPr>
          <w:rFonts w:ascii="Times New Roman" w:hAnsi="Times New Roman"/>
          <w:sz w:val="24"/>
          <w:szCs w:val="24"/>
        </w:rPr>
        <w:t>gene</w:t>
      </w:r>
      <w:r w:rsidR="00E46A6B">
        <w:rPr>
          <w:rFonts w:ascii="Times New Roman" w:hAnsi="Times New Roman"/>
          <w:sz w:val="24"/>
          <w:szCs w:val="24"/>
        </w:rPr>
        <w:t>rano</w:t>
      </w:r>
      <w:r w:rsidR="00544B8E">
        <w:rPr>
          <w:rFonts w:ascii="Times New Roman" w:hAnsi="Times New Roman"/>
          <w:sz w:val="24"/>
          <w:szCs w:val="24"/>
        </w:rPr>
        <w:t xml:space="preserve"> </w:t>
      </w:r>
      <w:r w:rsidR="00E46A6B">
        <w:rPr>
          <w:rFonts w:ascii="Times New Roman" w:hAnsi="Times New Roman"/>
          <w:sz w:val="24"/>
          <w:szCs w:val="24"/>
        </w:rPr>
        <w:t>p</w:t>
      </w:r>
      <w:r w:rsidR="00544B8E">
        <w:rPr>
          <w:rFonts w:ascii="Times New Roman" w:hAnsi="Times New Roman"/>
          <w:sz w:val="24"/>
          <w:szCs w:val="24"/>
        </w:rPr>
        <w:t>roblemi nella formazione</w:t>
      </w:r>
      <w:r w:rsidR="00E46A6B">
        <w:rPr>
          <w:rFonts w:ascii="Times New Roman" w:hAnsi="Times New Roman"/>
          <w:sz w:val="24"/>
          <w:szCs w:val="24"/>
        </w:rPr>
        <w:t xml:space="preserve">, tra cui le criticità </w:t>
      </w:r>
      <w:r w:rsidR="00544B8E">
        <w:rPr>
          <w:rFonts w:ascii="Times New Roman" w:hAnsi="Times New Roman"/>
          <w:sz w:val="24"/>
          <w:szCs w:val="24"/>
        </w:rPr>
        <w:t>primari</w:t>
      </w:r>
      <w:r w:rsidR="00E46A6B">
        <w:rPr>
          <w:rFonts w:ascii="Times New Roman" w:hAnsi="Times New Roman"/>
          <w:sz w:val="24"/>
          <w:szCs w:val="24"/>
        </w:rPr>
        <w:t>e</w:t>
      </w:r>
      <w:r w:rsidR="00544B8E">
        <w:rPr>
          <w:rFonts w:ascii="Times New Roman" w:hAnsi="Times New Roman"/>
          <w:sz w:val="24"/>
          <w:szCs w:val="24"/>
        </w:rPr>
        <w:t xml:space="preserve"> sono la lentezza negli studi e gli abbandoni. </w:t>
      </w:r>
      <w:r w:rsidR="00E46A6B">
        <w:rPr>
          <w:rFonts w:ascii="Times New Roman" w:hAnsi="Times New Roman"/>
          <w:sz w:val="24"/>
          <w:szCs w:val="24"/>
        </w:rPr>
        <w:t xml:space="preserve">In particolare, </w:t>
      </w:r>
      <w:r w:rsidR="000342B8">
        <w:rPr>
          <w:rFonts w:ascii="Times New Roman" w:hAnsi="Times New Roman"/>
          <w:sz w:val="24"/>
          <w:szCs w:val="24"/>
        </w:rPr>
        <w:t xml:space="preserve">le caratteristiche </w:t>
      </w:r>
      <w:r w:rsidR="00E46A6B">
        <w:rPr>
          <w:rFonts w:ascii="Times New Roman" w:hAnsi="Times New Roman"/>
          <w:sz w:val="24"/>
          <w:szCs w:val="24"/>
        </w:rPr>
        <w:t>del</w:t>
      </w:r>
      <w:r w:rsidR="000342B8">
        <w:rPr>
          <w:rFonts w:ascii="Times New Roman" w:hAnsi="Times New Roman"/>
          <w:sz w:val="24"/>
          <w:szCs w:val="24"/>
        </w:rPr>
        <w:t xml:space="preserve"> processo di erogazione della </w:t>
      </w:r>
      <w:r w:rsidR="00E46A6B">
        <w:rPr>
          <w:rFonts w:ascii="Times New Roman" w:hAnsi="Times New Roman"/>
          <w:sz w:val="24"/>
          <w:szCs w:val="24"/>
        </w:rPr>
        <w:t xml:space="preserve">formazione </w:t>
      </w:r>
      <w:r w:rsidR="000342B8">
        <w:rPr>
          <w:rFonts w:ascii="Times New Roman" w:hAnsi="Times New Roman"/>
          <w:sz w:val="24"/>
          <w:szCs w:val="24"/>
        </w:rPr>
        <w:t xml:space="preserve">istituzionale </w:t>
      </w:r>
      <w:r w:rsidR="00E46A6B">
        <w:rPr>
          <w:rFonts w:ascii="Times New Roman" w:hAnsi="Times New Roman"/>
          <w:sz w:val="24"/>
          <w:szCs w:val="24"/>
        </w:rPr>
        <w:t>sono base degli indicatori tramite i quali viene calcolato dal MIUR parte del FFO</w:t>
      </w:r>
      <w:r w:rsidR="00FA428A">
        <w:rPr>
          <w:rFonts w:ascii="Times New Roman" w:hAnsi="Times New Roman"/>
          <w:sz w:val="24"/>
          <w:szCs w:val="24"/>
        </w:rPr>
        <w:t xml:space="preserve"> e di conseguenza è essenziale che siano sempre una linea guida nelle fasi di scelta delle azioni politiche di Ateneo da parte dei suoi organi di governo</w:t>
      </w:r>
      <w:r w:rsidR="00E46A6B">
        <w:rPr>
          <w:rFonts w:ascii="Times New Roman" w:hAnsi="Times New Roman"/>
          <w:sz w:val="24"/>
          <w:szCs w:val="24"/>
        </w:rPr>
        <w:t xml:space="preserve">. </w:t>
      </w:r>
    </w:p>
    <w:p w:rsidR="00544B8E" w:rsidRDefault="00497184" w:rsidP="00B8490C">
      <w:pPr>
        <w:pStyle w:val="Paragrafoelenco"/>
        <w:spacing w:after="0" w:line="360" w:lineRule="auto"/>
        <w:ind w:left="0"/>
        <w:jc w:val="both"/>
        <w:rPr>
          <w:rFonts w:ascii="Times New Roman" w:hAnsi="Times New Roman"/>
          <w:sz w:val="24"/>
          <w:szCs w:val="24"/>
        </w:rPr>
      </w:pPr>
      <w:r>
        <w:rPr>
          <w:rFonts w:ascii="Times New Roman" w:hAnsi="Times New Roman"/>
          <w:sz w:val="24"/>
          <w:szCs w:val="24"/>
        </w:rPr>
        <w:t xml:space="preserve">Il PQA ha in molteplici sedi </w:t>
      </w:r>
      <w:r w:rsidR="00AE1434">
        <w:rPr>
          <w:rFonts w:ascii="Times New Roman" w:hAnsi="Times New Roman"/>
          <w:sz w:val="24"/>
          <w:szCs w:val="24"/>
        </w:rPr>
        <w:t>argomentato</w:t>
      </w:r>
      <w:r>
        <w:rPr>
          <w:rFonts w:ascii="Times New Roman" w:hAnsi="Times New Roman"/>
          <w:sz w:val="24"/>
          <w:szCs w:val="24"/>
        </w:rPr>
        <w:t xml:space="preserve"> le criticità in seno al sistema di ateneo che monitora la formazione e ne fornisc</w:t>
      </w:r>
      <w:r w:rsidR="00E46A6B">
        <w:rPr>
          <w:rFonts w:ascii="Times New Roman" w:hAnsi="Times New Roman"/>
          <w:sz w:val="24"/>
          <w:szCs w:val="24"/>
        </w:rPr>
        <w:t>e i dati</w:t>
      </w:r>
      <w:r w:rsidR="000342B8">
        <w:rPr>
          <w:rFonts w:ascii="Times New Roman" w:hAnsi="Times New Roman"/>
          <w:sz w:val="24"/>
          <w:szCs w:val="24"/>
        </w:rPr>
        <w:t xml:space="preserve"> di pe</w:t>
      </w:r>
      <w:r w:rsidR="005F05DC">
        <w:rPr>
          <w:rFonts w:ascii="Times New Roman" w:hAnsi="Times New Roman"/>
          <w:sz w:val="24"/>
          <w:szCs w:val="24"/>
        </w:rPr>
        <w:t>r</w:t>
      </w:r>
      <w:r w:rsidR="000342B8">
        <w:rPr>
          <w:rFonts w:ascii="Times New Roman" w:hAnsi="Times New Roman"/>
          <w:sz w:val="24"/>
          <w:szCs w:val="24"/>
        </w:rPr>
        <w:t>formance</w:t>
      </w:r>
      <w:r w:rsidR="004A3C4F">
        <w:rPr>
          <w:rFonts w:ascii="Times New Roman" w:hAnsi="Times New Roman"/>
          <w:sz w:val="24"/>
          <w:szCs w:val="24"/>
        </w:rPr>
        <w:t>,</w:t>
      </w:r>
      <w:r w:rsidR="000342B8">
        <w:rPr>
          <w:rFonts w:ascii="Times New Roman" w:hAnsi="Times New Roman"/>
          <w:sz w:val="24"/>
          <w:szCs w:val="24"/>
        </w:rPr>
        <w:t xml:space="preserve"> svolgendo </w:t>
      </w:r>
      <w:r>
        <w:rPr>
          <w:rFonts w:ascii="Times New Roman" w:hAnsi="Times New Roman"/>
          <w:sz w:val="24"/>
          <w:szCs w:val="24"/>
        </w:rPr>
        <w:t xml:space="preserve">un lavoro di indirizzo alla mitigazione di queste criticità. A </w:t>
      </w:r>
      <w:r w:rsidR="006E14DC">
        <w:rPr>
          <w:rFonts w:ascii="Times New Roman" w:hAnsi="Times New Roman"/>
          <w:sz w:val="24"/>
          <w:szCs w:val="24"/>
        </w:rPr>
        <w:t xml:space="preserve">riguardo l’ateneo ha svolto molteplici azioni, </w:t>
      </w:r>
      <w:r w:rsidR="000342B8">
        <w:rPr>
          <w:rFonts w:ascii="Times New Roman" w:hAnsi="Times New Roman"/>
          <w:sz w:val="24"/>
          <w:szCs w:val="24"/>
        </w:rPr>
        <w:t xml:space="preserve">nell’ambito del progetto strategico </w:t>
      </w:r>
      <w:proofErr w:type="spellStart"/>
      <w:r w:rsidR="006E14DC">
        <w:rPr>
          <w:rFonts w:ascii="Times New Roman" w:hAnsi="Times New Roman"/>
          <w:sz w:val="24"/>
          <w:szCs w:val="24"/>
        </w:rPr>
        <w:t>MCQ&amp;S</w:t>
      </w:r>
      <w:proofErr w:type="spellEnd"/>
      <w:r w:rsidR="00B40049">
        <w:rPr>
          <w:rFonts w:ascii="Times New Roman" w:hAnsi="Times New Roman"/>
          <w:sz w:val="24"/>
          <w:szCs w:val="24"/>
        </w:rPr>
        <w:t xml:space="preserve"> (attività coordinate dal delegato Prof. M. </w:t>
      </w:r>
      <w:proofErr w:type="spellStart"/>
      <w:r w:rsidR="00B40049">
        <w:rPr>
          <w:rFonts w:ascii="Times New Roman" w:hAnsi="Times New Roman"/>
          <w:sz w:val="24"/>
          <w:szCs w:val="24"/>
        </w:rPr>
        <w:t>Dassisti</w:t>
      </w:r>
      <w:proofErr w:type="spellEnd"/>
      <w:r w:rsidR="008D66FE">
        <w:rPr>
          <w:rFonts w:ascii="Times New Roman" w:hAnsi="Times New Roman"/>
          <w:sz w:val="24"/>
          <w:szCs w:val="24"/>
        </w:rPr>
        <w:t>; si allega per informazione in merito la relazione “</w:t>
      </w:r>
      <w:proofErr w:type="spellStart"/>
      <w:r w:rsidR="008D66FE" w:rsidRPr="008D66FE">
        <w:rPr>
          <w:rFonts w:ascii="Times New Roman" w:hAnsi="Times New Roman"/>
          <w:sz w:val="24"/>
          <w:szCs w:val="24"/>
        </w:rPr>
        <w:t>MCQ&amp;S</w:t>
      </w:r>
      <w:proofErr w:type="spellEnd"/>
      <w:r w:rsidR="008D66FE" w:rsidRPr="008D66FE">
        <w:rPr>
          <w:rFonts w:ascii="Times New Roman" w:hAnsi="Times New Roman"/>
          <w:sz w:val="24"/>
          <w:szCs w:val="24"/>
        </w:rPr>
        <w:t xml:space="preserve"> Relazione conclusiva_V2</w:t>
      </w:r>
      <w:r w:rsidR="008D66FE">
        <w:rPr>
          <w:rFonts w:ascii="Times New Roman" w:hAnsi="Times New Roman"/>
          <w:sz w:val="24"/>
          <w:szCs w:val="24"/>
        </w:rPr>
        <w:t>”</w:t>
      </w:r>
      <w:r w:rsidR="00B40049">
        <w:rPr>
          <w:rFonts w:ascii="Times New Roman" w:hAnsi="Times New Roman"/>
          <w:sz w:val="24"/>
          <w:szCs w:val="24"/>
        </w:rPr>
        <w:t>)</w:t>
      </w:r>
      <w:r w:rsidR="006E14DC">
        <w:rPr>
          <w:rFonts w:ascii="Times New Roman" w:hAnsi="Times New Roman"/>
          <w:sz w:val="24"/>
          <w:szCs w:val="24"/>
        </w:rPr>
        <w:t xml:space="preserve">, confluite nella sperimentazione di un cruscotto della didattica, adottato al fine di superare le criticità anzidette e </w:t>
      </w:r>
      <w:r w:rsidR="00AE1434">
        <w:rPr>
          <w:rFonts w:ascii="Times New Roman" w:hAnsi="Times New Roman"/>
          <w:sz w:val="24"/>
          <w:szCs w:val="24"/>
        </w:rPr>
        <w:t xml:space="preserve">di </w:t>
      </w:r>
      <w:r w:rsidR="006E14DC">
        <w:rPr>
          <w:rFonts w:ascii="Times New Roman" w:hAnsi="Times New Roman"/>
          <w:sz w:val="24"/>
          <w:szCs w:val="24"/>
        </w:rPr>
        <w:t xml:space="preserve">permettere a tutti gli utenti preposti di interrogare il database ESSE3 </w:t>
      </w:r>
      <w:r w:rsidR="00AE1434">
        <w:rPr>
          <w:rFonts w:ascii="Times New Roman" w:hAnsi="Times New Roman"/>
          <w:sz w:val="24"/>
          <w:szCs w:val="24"/>
        </w:rPr>
        <w:t xml:space="preserve">per </w:t>
      </w:r>
      <w:r w:rsidR="006E14DC">
        <w:rPr>
          <w:rFonts w:ascii="Times New Roman" w:hAnsi="Times New Roman"/>
          <w:sz w:val="24"/>
          <w:szCs w:val="24"/>
        </w:rPr>
        <w:t xml:space="preserve">i diversi </w:t>
      </w:r>
      <w:r w:rsidR="00AE1434">
        <w:rPr>
          <w:rFonts w:ascii="Times New Roman" w:hAnsi="Times New Roman"/>
          <w:sz w:val="24"/>
          <w:szCs w:val="24"/>
        </w:rPr>
        <w:t>aspetti</w:t>
      </w:r>
      <w:r w:rsidR="006E14DC">
        <w:rPr>
          <w:rFonts w:ascii="Times New Roman" w:hAnsi="Times New Roman"/>
          <w:sz w:val="24"/>
          <w:szCs w:val="24"/>
        </w:rPr>
        <w:t xml:space="preserve"> della formazione. Tale lavoro ha permesso il rilascio del cruscotto della didattica, occorso il </w:t>
      </w:r>
      <w:r w:rsidR="000342B8">
        <w:rPr>
          <w:rFonts w:ascii="Times New Roman" w:hAnsi="Times New Roman"/>
          <w:sz w:val="24"/>
          <w:szCs w:val="24"/>
        </w:rPr>
        <w:t xml:space="preserve">7/5/2015 </w:t>
      </w:r>
      <w:r w:rsidR="006E14DC">
        <w:rPr>
          <w:rFonts w:ascii="Times New Roman" w:hAnsi="Times New Roman"/>
          <w:sz w:val="24"/>
          <w:szCs w:val="24"/>
        </w:rPr>
        <w:t>da parte del Rettore.</w:t>
      </w:r>
    </w:p>
    <w:p w:rsidR="000F2B5E" w:rsidRDefault="00497184" w:rsidP="00B8490C">
      <w:pPr>
        <w:pStyle w:val="Paragrafoelenco"/>
        <w:spacing w:after="0" w:line="360" w:lineRule="auto"/>
        <w:ind w:left="0"/>
        <w:jc w:val="both"/>
        <w:rPr>
          <w:rFonts w:ascii="Times New Roman" w:hAnsi="Times New Roman"/>
          <w:sz w:val="24"/>
          <w:szCs w:val="24"/>
        </w:rPr>
      </w:pPr>
      <w:r>
        <w:rPr>
          <w:rFonts w:ascii="Times New Roman" w:hAnsi="Times New Roman"/>
          <w:sz w:val="24"/>
          <w:szCs w:val="24"/>
        </w:rPr>
        <w:t xml:space="preserve">Nella COMUNICAZIONE PQA di Aprile 2015, il PQA ha chiesto </w:t>
      </w:r>
      <w:r w:rsidR="008663F9" w:rsidRPr="00B8490C">
        <w:rPr>
          <w:rFonts w:ascii="Times New Roman" w:hAnsi="Times New Roman"/>
          <w:sz w:val="24"/>
          <w:szCs w:val="24"/>
        </w:rPr>
        <w:t>la verifica della coerenza de</w:t>
      </w:r>
      <w:r w:rsidR="006E14DC">
        <w:rPr>
          <w:rFonts w:ascii="Times New Roman" w:hAnsi="Times New Roman"/>
          <w:sz w:val="24"/>
          <w:szCs w:val="24"/>
        </w:rPr>
        <w:t>lle informazioni circa la formazione deducibili dal cruscotto</w:t>
      </w:r>
      <w:r w:rsidR="008663F9" w:rsidRPr="00B8490C">
        <w:rPr>
          <w:rFonts w:ascii="Times New Roman" w:hAnsi="Times New Roman"/>
          <w:sz w:val="24"/>
          <w:szCs w:val="24"/>
        </w:rPr>
        <w:t xml:space="preserve"> </w:t>
      </w:r>
      <w:r w:rsidR="000F2B5E">
        <w:rPr>
          <w:rFonts w:ascii="Times New Roman" w:hAnsi="Times New Roman"/>
          <w:sz w:val="24"/>
          <w:szCs w:val="24"/>
        </w:rPr>
        <w:t>(</w:t>
      </w:r>
      <w:r>
        <w:rPr>
          <w:rFonts w:ascii="Times New Roman" w:hAnsi="Times New Roman"/>
          <w:sz w:val="24"/>
          <w:szCs w:val="24"/>
        </w:rPr>
        <w:t xml:space="preserve">già </w:t>
      </w:r>
      <w:r w:rsidR="008663F9" w:rsidRPr="00B8490C">
        <w:rPr>
          <w:rFonts w:ascii="Times New Roman" w:hAnsi="Times New Roman"/>
          <w:sz w:val="24"/>
          <w:szCs w:val="24"/>
        </w:rPr>
        <w:t xml:space="preserve">richiesta </w:t>
      </w:r>
      <w:r w:rsidR="001933E1">
        <w:rPr>
          <w:rFonts w:ascii="Times New Roman" w:hAnsi="Times New Roman"/>
          <w:sz w:val="24"/>
          <w:szCs w:val="24"/>
        </w:rPr>
        <w:t xml:space="preserve">durante </w:t>
      </w:r>
      <w:r w:rsidR="008663F9" w:rsidRPr="00B8490C">
        <w:rPr>
          <w:rFonts w:ascii="Times New Roman" w:hAnsi="Times New Roman"/>
          <w:sz w:val="24"/>
          <w:szCs w:val="24"/>
        </w:rPr>
        <w:t xml:space="preserve">la riunione </w:t>
      </w:r>
      <w:r>
        <w:rPr>
          <w:rFonts w:ascii="Times New Roman" w:hAnsi="Times New Roman"/>
          <w:sz w:val="24"/>
          <w:szCs w:val="24"/>
        </w:rPr>
        <w:t xml:space="preserve">del PQA </w:t>
      </w:r>
      <w:r w:rsidR="008663F9" w:rsidRPr="00B8490C">
        <w:rPr>
          <w:rFonts w:ascii="Times New Roman" w:hAnsi="Times New Roman"/>
          <w:sz w:val="24"/>
          <w:szCs w:val="24"/>
        </w:rPr>
        <w:t xml:space="preserve">con </w:t>
      </w:r>
      <w:proofErr w:type="spellStart"/>
      <w:r w:rsidR="008663F9" w:rsidRPr="00B8490C">
        <w:rPr>
          <w:rFonts w:ascii="Times New Roman" w:hAnsi="Times New Roman"/>
          <w:sz w:val="24"/>
          <w:szCs w:val="24"/>
        </w:rPr>
        <w:t>MCQ&amp;S</w:t>
      </w:r>
      <w:proofErr w:type="spellEnd"/>
      <w:r w:rsidR="008663F9" w:rsidRPr="00B8490C">
        <w:rPr>
          <w:rFonts w:ascii="Times New Roman" w:hAnsi="Times New Roman"/>
          <w:sz w:val="24"/>
          <w:szCs w:val="24"/>
        </w:rPr>
        <w:t xml:space="preserve"> del 31 Marzo</w:t>
      </w:r>
      <w:r w:rsidR="000F2B5E">
        <w:rPr>
          <w:rFonts w:ascii="Times New Roman" w:hAnsi="Times New Roman"/>
          <w:sz w:val="24"/>
          <w:szCs w:val="24"/>
        </w:rPr>
        <w:t>)</w:t>
      </w:r>
      <w:r w:rsidR="008663F9" w:rsidRPr="00B8490C">
        <w:rPr>
          <w:rFonts w:ascii="Times New Roman" w:hAnsi="Times New Roman"/>
          <w:sz w:val="24"/>
          <w:szCs w:val="24"/>
        </w:rPr>
        <w:t xml:space="preserve">, </w:t>
      </w:r>
      <w:r w:rsidR="006E14DC">
        <w:rPr>
          <w:rFonts w:ascii="Times New Roman" w:hAnsi="Times New Roman"/>
          <w:sz w:val="24"/>
          <w:szCs w:val="24"/>
        </w:rPr>
        <w:t>secondo quanto riportato nel verbale che si allega alla presente</w:t>
      </w:r>
      <w:r w:rsidR="001933E1">
        <w:rPr>
          <w:rFonts w:ascii="Times New Roman" w:hAnsi="Times New Roman"/>
          <w:sz w:val="24"/>
          <w:szCs w:val="24"/>
        </w:rPr>
        <w:t xml:space="preserve"> </w:t>
      </w:r>
      <w:r w:rsidR="0003402D" w:rsidRPr="00041FD0">
        <w:rPr>
          <w:rFonts w:ascii="Times New Roman" w:hAnsi="Times New Roman"/>
          <w:sz w:val="24"/>
          <w:szCs w:val="24"/>
        </w:rPr>
        <w:t>(</w:t>
      </w:r>
      <w:r w:rsidR="0003402D" w:rsidRPr="00041FD0">
        <w:rPr>
          <w:rFonts w:ascii="Times New Roman" w:hAnsi="Times New Roman"/>
          <w:b/>
          <w:sz w:val="24"/>
          <w:szCs w:val="24"/>
        </w:rPr>
        <w:t>Allegato n. 1)</w:t>
      </w:r>
      <w:r w:rsidR="0003402D" w:rsidRPr="00041FD0">
        <w:rPr>
          <w:rFonts w:ascii="Times New Roman" w:hAnsi="Times New Roman"/>
          <w:sz w:val="24"/>
          <w:szCs w:val="24"/>
        </w:rPr>
        <w:t>,</w:t>
      </w:r>
      <w:r w:rsidR="0003402D">
        <w:rPr>
          <w:rFonts w:ascii="Times New Roman" w:hAnsi="Times New Roman"/>
          <w:sz w:val="24"/>
          <w:szCs w:val="24"/>
        </w:rPr>
        <w:t xml:space="preserve"> </w:t>
      </w:r>
      <w:r w:rsidR="001933E1">
        <w:rPr>
          <w:rFonts w:ascii="Times New Roman" w:hAnsi="Times New Roman"/>
          <w:sz w:val="24"/>
          <w:szCs w:val="24"/>
        </w:rPr>
        <w:t xml:space="preserve">inviato il </w:t>
      </w:r>
      <w:r w:rsidR="00FA428A">
        <w:rPr>
          <w:rFonts w:ascii="Times New Roman" w:hAnsi="Times New Roman"/>
          <w:sz w:val="24"/>
          <w:szCs w:val="24"/>
        </w:rPr>
        <w:t xml:space="preserve">19/05/2015 </w:t>
      </w:r>
      <w:r w:rsidR="0003402D">
        <w:rPr>
          <w:rFonts w:ascii="Times New Roman" w:hAnsi="Times New Roman"/>
          <w:sz w:val="24"/>
          <w:szCs w:val="24"/>
        </w:rPr>
        <w:t xml:space="preserve">e </w:t>
      </w:r>
      <w:r w:rsidR="00BC4889">
        <w:rPr>
          <w:rFonts w:ascii="Times New Roman" w:hAnsi="Times New Roman"/>
          <w:sz w:val="24"/>
          <w:szCs w:val="24"/>
        </w:rPr>
        <w:t>presente</w:t>
      </w:r>
      <w:r w:rsidR="001933E1">
        <w:rPr>
          <w:rFonts w:ascii="Times New Roman" w:hAnsi="Times New Roman"/>
          <w:sz w:val="24"/>
          <w:szCs w:val="24"/>
        </w:rPr>
        <w:t xml:space="preserve"> sul sito</w:t>
      </w:r>
      <w:r w:rsidR="006E14DC">
        <w:rPr>
          <w:rFonts w:ascii="Times New Roman" w:hAnsi="Times New Roman"/>
          <w:sz w:val="24"/>
          <w:szCs w:val="24"/>
        </w:rPr>
        <w:t>. Il PQA chiede notizie in merito alla verifica richiesta</w:t>
      </w:r>
      <w:r w:rsidR="008663F9" w:rsidRPr="00B8490C">
        <w:rPr>
          <w:rFonts w:ascii="Times New Roman" w:hAnsi="Times New Roman"/>
          <w:sz w:val="24"/>
          <w:szCs w:val="24"/>
        </w:rPr>
        <w:t>.</w:t>
      </w:r>
      <w:r w:rsidR="006E14DC">
        <w:rPr>
          <w:rFonts w:ascii="Times New Roman" w:hAnsi="Times New Roman"/>
          <w:sz w:val="24"/>
          <w:szCs w:val="24"/>
        </w:rPr>
        <w:t xml:space="preserve"> </w:t>
      </w:r>
    </w:p>
    <w:p w:rsidR="00FE0848" w:rsidRDefault="006E14DC" w:rsidP="00B8490C">
      <w:pPr>
        <w:pStyle w:val="Paragrafoelenco"/>
        <w:spacing w:after="0" w:line="360" w:lineRule="auto"/>
        <w:ind w:left="0"/>
        <w:jc w:val="both"/>
        <w:rPr>
          <w:rFonts w:ascii="Times New Roman" w:hAnsi="Times New Roman"/>
          <w:sz w:val="24"/>
          <w:szCs w:val="24"/>
        </w:rPr>
      </w:pPr>
      <w:r w:rsidRPr="004A3C4F">
        <w:rPr>
          <w:rFonts w:ascii="Times New Roman" w:hAnsi="Times New Roman"/>
          <w:sz w:val="24"/>
          <w:szCs w:val="24"/>
          <w:u w:val="single"/>
        </w:rPr>
        <w:t>In particolare si chiede se sono oggi stati identificati</w:t>
      </w:r>
      <w:r w:rsidR="00BC4889" w:rsidRPr="004A3C4F">
        <w:rPr>
          <w:rFonts w:ascii="Times New Roman" w:hAnsi="Times New Roman"/>
          <w:sz w:val="24"/>
          <w:szCs w:val="24"/>
          <w:u w:val="single"/>
        </w:rPr>
        <w:t>, o sono identificabili,</w:t>
      </w:r>
      <w:r w:rsidRPr="004A3C4F">
        <w:rPr>
          <w:rFonts w:ascii="Times New Roman" w:hAnsi="Times New Roman"/>
          <w:sz w:val="24"/>
          <w:szCs w:val="24"/>
          <w:u w:val="single"/>
        </w:rPr>
        <w:t xml:space="preserve"> i valori </w:t>
      </w:r>
      <w:r w:rsidR="008663F9" w:rsidRPr="004A3C4F">
        <w:rPr>
          <w:rFonts w:ascii="Times New Roman" w:hAnsi="Times New Roman"/>
          <w:sz w:val="24"/>
          <w:szCs w:val="24"/>
          <w:u w:val="single"/>
        </w:rPr>
        <w:t xml:space="preserve">definitivi </w:t>
      </w:r>
      <w:r w:rsidRPr="004A3C4F">
        <w:rPr>
          <w:rFonts w:ascii="Times New Roman" w:hAnsi="Times New Roman"/>
          <w:sz w:val="24"/>
          <w:szCs w:val="24"/>
          <w:u w:val="single"/>
        </w:rPr>
        <w:t>de</w:t>
      </w:r>
      <w:r w:rsidR="008663F9" w:rsidRPr="004A3C4F">
        <w:rPr>
          <w:rFonts w:ascii="Times New Roman" w:hAnsi="Times New Roman"/>
          <w:sz w:val="24"/>
          <w:szCs w:val="24"/>
          <w:u w:val="single"/>
        </w:rPr>
        <w:t>gli abbandoni</w:t>
      </w:r>
      <w:r w:rsidRPr="004A3C4F">
        <w:rPr>
          <w:rFonts w:ascii="Times New Roman" w:hAnsi="Times New Roman"/>
          <w:sz w:val="24"/>
          <w:szCs w:val="24"/>
          <w:u w:val="single"/>
        </w:rPr>
        <w:t xml:space="preserve"> per corso di studio per anno e le loro </w:t>
      </w:r>
      <w:r w:rsidR="008663F9" w:rsidRPr="004A3C4F">
        <w:rPr>
          <w:rFonts w:ascii="Times New Roman" w:hAnsi="Times New Roman"/>
          <w:sz w:val="24"/>
          <w:szCs w:val="24"/>
          <w:u w:val="single"/>
        </w:rPr>
        <w:t xml:space="preserve">motivazioni, </w:t>
      </w:r>
      <w:r w:rsidRPr="004A3C4F">
        <w:rPr>
          <w:rFonts w:ascii="Times New Roman" w:hAnsi="Times New Roman"/>
          <w:sz w:val="24"/>
          <w:szCs w:val="24"/>
          <w:u w:val="single"/>
        </w:rPr>
        <w:t xml:space="preserve">i </w:t>
      </w:r>
      <w:r w:rsidR="008663F9" w:rsidRPr="004A3C4F">
        <w:rPr>
          <w:rFonts w:ascii="Times New Roman" w:hAnsi="Times New Roman"/>
          <w:sz w:val="24"/>
          <w:szCs w:val="24"/>
          <w:u w:val="single"/>
        </w:rPr>
        <w:t>CFU</w:t>
      </w:r>
      <w:r w:rsidR="0033675A" w:rsidRPr="004A3C4F">
        <w:rPr>
          <w:rFonts w:ascii="Times New Roman" w:hAnsi="Times New Roman"/>
          <w:sz w:val="24"/>
          <w:szCs w:val="24"/>
          <w:u w:val="single"/>
        </w:rPr>
        <w:t xml:space="preserve"> sostenuti</w:t>
      </w:r>
      <w:r w:rsidR="000F2B5E" w:rsidRPr="004A3C4F">
        <w:rPr>
          <w:rFonts w:ascii="Times New Roman" w:hAnsi="Times New Roman"/>
          <w:sz w:val="24"/>
          <w:szCs w:val="24"/>
          <w:u w:val="single"/>
        </w:rPr>
        <w:t>/studente</w:t>
      </w:r>
      <w:r w:rsidR="008663F9" w:rsidRPr="004A3C4F">
        <w:rPr>
          <w:rFonts w:ascii="Times New Roman" w:hAnsi="Times New Roman"/>
          <w:sz w:val="24"/>
          <w:szCs w:val="24"/>
          <w:u w:val="single"/>
        </w:rPr>
        <w:t xml:space="preserve"> </w:t>
      </w:r>
      <w:r w:rsidRPr="004A3C4F">
        <w:rPr>
          <w:rFonts w:ascii="Times New Roman" w:hAnsi="Times New Roman"/>
          <w:sz w:val="24"/>
          <w:szCs w:val="24"/>
          <w:u w:val="single"/>
        </w:rPr>
        <w:t xml:space="preserve">per </w:t>
      </w:r>
      <w:r w:rsidR="008663F9" w:rsidRPr="004A3C4F">
        <w:rPr>
          <w:rFonts w:ascii="Times New Roman" w:hAnsi="Times New Roman"/>
          <w:sz w:val="24"/>
          <w:szCs w:val="24"/>
          <w:u w:val="single"/>
        </w:rPr>
        <w:t>anno</w:t>
      </w:r>
      <w:r w:rsidRPr="004A3C4F">
        <w:rPr>
          <w:rFonts w:ascii="Times New Roman" w:hAnsi="Times New Roman"/>
          <w:sz w:val="24"/>
          <w:szCs w:val="24"/>
          <w:u w:val="single"/>
        </w:rPr>
        <w:t xml:space="preserve"> e per corso</w:t>
      </w:r>
      <w:r w:rsidR="008663F9" w:rsidRPr="004A3C4F">
        <w:rPr>
          <w:rFonts w:ascii="Times New Roman" w:hAnsi="Times New Roman"/>
          <w:sz w:val="24"/>
          <w:szCs w:val="24"/>
          <w:u w:val="single"/>
        </w:rPr>
        <w:t xml:space="preserve"> di studio, </w:t>
      </w:r>
      <w:r w:rsidRPr="004A3C4F">
        <w:rPr>
          <w:rFonts w:ascii="Times New Roman" w:hAnsi="Times New Roman"/>
          <w:sz w:val="24"/>
          <w:szCs w:val="24"/>
          <w:u w:val="single"/>
        </w:rPr>
        <w:t xml:space="preserve">i valori dei </w:t>
      </w:r>
      <w:r w:rsidR="008663F9" w:rsidRPr="004A3C4F">
        <w:rPr>
          <w:rFonts w:ascii="Times New Roman" w:hAnsi="Times New Roman"/>
          <w:sz w:val="24"/>
          <w:szCs w:val="24"/>
          <w:u w:val="single"/>
        </w:rPr>
        <w:t>fuoricorso</w:t>
      </w:r>
      <w:r w:rsidRPr="004A3C4F">
        <w:rPr>
          <w:rFonts w:ascii="Times New Roman" w:hAnsi="Times New Roman"/>
          <w:sz w:val="24"/>
          <w:szCs w:val="24"/>
          <w:u w:val="single"/>
        </w:rPr>
        <w:t xml:space="preserve"> per anno e per corso </w:t>
      </w:r>
      <w:r w:rsidR="008663F9" w:rsidRPr="004A3C4F">
        <w:rPr>
          <w:rFonts w:ascii="Times New Roman" w:hAnsi="Times New Roman"/>
          <w:sz w:val="24"/>
          <w:szCs w:val="24"/>
          <w:u w:val="single"/>
        </w:rPr>
        <w:t>di studio e</w:t>
      </w:r>
      <w:r w:rsidRPr="004A3C4F">
        <w:rPr>
          <w:rFonts w:ascii="Times New Roman" w:hAnsi="Times New Roman"/>
          <w:sz w:val="24"/>
          <w:szCs w:val="24"/>
          <w:u w:val="single"/>
        </w:rPr>
        <w:t xml:space="preserve">, ancor più in dettaglio, </w:t>
      </w:r>
      <w:r w:rsidRPr="004A3C4F">
        <w:rPr>
          <w:rFonts w:ascii="Times New Roman" w:hAnsi="Times New Roman"/>
          <w:sz w:val="24"/>
          <w:szCs w:val="24"/>
          <w:u w:val="single"/>
        </w:rPr>
        <w:lastRenderedPageBreak/>
        <w:t xml:space="preserve">per </w:t>
      </w:r>
      <w:r w:rsidR="008663F9" w:rsidRPr="004A3C4F">
        <w:rPr>
          <w:rFonts w:ascii="Times New Roman" w:hAnsi="Times New Roman"/>
          <w:sz w:val="24"/>
          <w:szCs w:val="24"/>
          <w:u w:val="single"/>
        </w:rPr>
        <w:t xml:space="preserve">curriculum, </w:t>
      </w:r>
      <w:r w:rsidRPr="004A3C4F">
        <w:rPr>
          <w:rFonts w:ascii="Times New Roman" w:hAnsi="Times New Roman"/>
          <w:sz w:val="24"/>
          <w:szCs w:val="24"/>
          <w:u w:val="single"/>
        </w:rPr>
        <w:t xml:space="preserve">e se sia stata </w:t>
      </w:r>
      <w:r w:rsidR="008663F9" w:rsidRPr="004A3C4F">
        <w:rPr>
          <w:rFonts w:ascii="Times New Roman" w:hAnsi="Times New Roman"/>
          <w:sz w:val="24"/>
          <w:szCs w:val="24"/>
          <w:u w:val="single"/>
        </w:rPr>
        <w:t>verifica</w:t>
      </w:r>
      <w:r w:rsidRPr="004A3C4F">
        <w:rPr>
          <w:rFonts w:ascii="Times New Roman" w:hAnsi="Times New Roman"/>
          <w:sz w:val="24"/>
          <w:szCs w:val="24"/>
          <w:u w:val="single"/>
        </w:rPr>
        <w:t>ta</w:t>
      </w:r>
      <w:r w:rsidR="008663F9" w:rsidRPr="004A3C4F">
        <w:rPr>
          <w:rFonts w:ascii="Times New Roman" w:hAnsi="Times New Roman"/>
          <w:sz w:val="24"/>
          <w:szCs w:val="24"/>
          <w:u w:val="single"/>
        </w:rPr>
        <w:t xml:space="preserve"> la coerenza dei dati </w:t>
      </w:r>
      <w:r w:rsidRPr="004A3C4F">
        <w:rPr>
          <w:rFonts w:ascii="Times New Roman" w:hAnsi="Times New Roman"/>
          <w:sz w:val="24"/>
          <w:szCs w:val="24"/>
          <w:u w:val="single"/>
        </w:rPr>
        <w:t>desunti da ESSE3 con quelli desunti da ANS</w:t>
      </w:r>
      <w:r w:rsidR="008663F9" w:rsidRPr="00B8490C">
        <w:rPr>
          <w:rFonts w:ascii="Times New Roman" w:hAnsi="Times New Roman"/>
          <w:sz w:val="24"/>
          <w:szCs w:val="24"/>
        </w:rPr>
        <w:t>.</w:t>
      </w:r>
      <w:r w:rsidR="00AD4334">
        <w:rPr>
          <w:rFonts w:ascii="Times New Roman" w:hAnsi="Times New Roman"/>
          <w:sz w:val="24"/>
          <w:szCs w:val="24"/>
        </w:rPr>
        <w:t xml:space="preserve"> </w:t>
      </w:r>
    </w:p>
    <w:p w:rsidR="008663F9" w:rsidRDefault="00FE0848" w:rsidP="00B8490C">
      <w:pPr>
        <w:pStyle w:val="Paragrafoelenco"/>
        <w:spacing w:after="0" w:line="360" w:lineRule="auto"/>
        <w:ind w:left="0"/>
        <w:jc w:val="both"/>
        <w:rPr>
          <w:rFonts w:ascii="Times New Roman" w:hAnsi="Times New Roman"/>
          <w:sz w:val="24"/>
          <w:szCs w:val="24"/>
        </w:rPr>
      </w:pPr>
      <w:r>
        <w:rPr>
          <w:rFonts w:ascii="Times New Roman" w:hAnsi="Times New Roman"/>
          <w:sz w:val="24"/>
          <w:szCs w:val="24"/>
        </w:rPr>
        <w:t>In particolare s</w:t>
      </w:r>
      <w:r w:rsidR="00285209">
        <w:rPr>
          <w:rFonts w:ascii="Times New Roman" w:hAnsi="Times New Roman"/>
          <w:sz w:val="24"/>
          <w:szCs w:val="24"/>
        </w:rPr>
        <w:t>i chiede quali delle domande riportate nell’elenco allegato (</w:t>
      </w:r>
      <w:r w:rsidR="00535EA7">
        <w:rPr>
          <w:rFonts w:ascii="Times New Roman" w:hAnsi="Times New Roman"/>
          <w:sz w:val="24"/>
          <w:szCs w:val="24"/>
        </w:rPr>
        <w:t xml:space="preserve">‘indicatori didattica </w:t>
      </w:r>
      <w:proofErr w:type="spellStart"/>
      <w:r w:rsidR="00535EA7">
        <w:rPr>
          <w:rFonts w:ascii="Times New Roman" w:hAnsi="Times New Roman"/>
          <w:sz w:val="24"/>
          <w:szCs w:val="24"/>
        </w:rPr>
        <w:t>MCQ&amp;S</w:t>
      </w:r>
      <w:proofErr w:type="spellEnd"/>
      <w:r>
        <w:rPr>
          <w:rFonts w:ascii="Times New Roman" w:hAnsi="Times New Roman"/>
          <w:sz w:val="24"/>
          <w:szCs w:val="24"/>
        </w:rPr>
        <w:t>,</w:t>
      </w:r>
      <w:r w:rsidR="00535EA7">
        <w:rPr>
          <w:rFonts w:ascii="Times New Roman" w:hAnsi="Times New Roman"/>
          <w:sz w:val="24"/>
          <w:szCs w:val="24"/>
        </w:rPr>
        <w:t xml:space="preserve"> </w:t>
      </w:r>
      <w:r w:rsidR="00285209">
        <w:rPr>
          <w:rFonts w:ascii="Times New Roman" w:hAnsi="Times New Roman"/>
          <w:sz w:val="24"/>
          <w:szCs w:val="24"/>
        </w:rPr>
        <w:t>desunto dal DM 47 e dal documento AVA)</w:t>
      </w:r>
      <w:r w:rsidR="0003402D">
        <w:rPr>
          <w:rFonts w:ascii="Times New Roman" w:hAnsi="Times New Roman"/>
          <w:sz w:val="24"/>
          <w:szCs w:val="24"/>
        </w:rPr>
        <w:t xml:space="preserve"> </w:t>
      </w:r>
      <w:r w:rsidR="0003402D" w:rsidRPr="00041FD0">
        <w:rPr>
          <w:rFonts w:ascii="Times New Roman" w:hAnsi="Times New Roman"/>
          <w:b/>
          <w:sz w:val="24"/>
          <w:szCs w:val="24"/>
        </w:rPr>
        <w:t>(Allegato n. 2)</w:t>
      </w:r>
      <w:r w:rsidR="00285209" w:rsidRPr="0003402D">
        <w:rPr>
          <w:rFonts w:ascii="Times New Roman" w:hAnsi="Times New Roman"/>
          <w:b/>
          <w:sz w:val="24"/>
          <w:szCs w:val="24"/>
        </w:rPr>
        <w:t xml:space="preserve"> </w:t>
      </w:r>
      <w:r w:rsidR="00285209">
        <w:rPr>
          <w:rFonts w:ascii="Times New Roman" w:hAnsi="Times New Roman"/>
          <w:sz w:val="24"/>
          <w:szCs w:val="24"/>
        </w:rPr>
        <w:t xml:space="preserve">siano </w:t>
      </w:r>
      <w:r w:rsidR="00FA428A">
        <w:rPr>
          <w:rFonts w:ascii="Times New Roman" w:hAnsi="Times New Roman"/>
          <w:sz w:val="24"/>
          <w:szCs w:val="24"/>
        </w:rPr>
        <w:t>potenzialmente soddisfatte d</w:t>
      </w:r>
      <w:r w:rsidR="00B40049">
        <w:rPr>
          <w:rFonts w:ascii="Times New Roman" w:hAnsi="Times New Roman"/>
          <w:sz w:val="24"/>
          <w:szCs w:val="24"/>
        </w:rPr>
        <w:t>a</w:t>
      </w:r>
      <w:r w:rsidR="00FA428A">
        <w:rPr>
          <w:rFonts w:ascii="Times New Roman" w:hAnsi="Times New Roman"/>
          <w:sz w:val="24"/>
          <w:szCs w:val="24"/>
        </w:rPr>
        <w:t xml:space="preserve">lle funzionalità del cruscotto all’attuale stato di operatività, </w:t>
      </w:r>
      <w:r w:rsidR="00285209">
        <w:rPr>
          <w:rFonts w:ascii="Times New Roman" w:hAnsi="Times New Roman"/>
          <w:sz w:val="24"/>
          <w:szCs w:val="24"/>
        </w:rPr>
        <w:t xml:space="preserve">e </w:t>
      </w:r>
      <w:r>
        <w:rPr>
          <w:rFonts w:ascii="Times New Roman" w:hAnsi="Times New Roman"/>
          <w:sz w:val="24"/>
          <w:szCs w:val="24"/>
        </w:rPr>
        <w:t>si chiede di ricevere i corrispondenti risultati dell’interrogazione del database</w:t>
      </w:r>
      <w:r w:rsidR="00285209">
        <w:rPr>
          <w:rFonts w:ascii="Times New Roman" w:hAnsi="Times New Roman"/>
          <w:sz w:val="24"/>
          <w:szCs w:val="24"/>
        </w:rPr>
        <w:t xml:space="preserve"> per </w:t>
      </w:r>
      <w:r>
        <w:rPr>
          <w:rFonts w:ascii="Times New Roman" w:hAnsi="Times New Roman"/>
          <w:sz w:val="24"/>
          <w:szCs w:val="24"/>
        </w:rPr>
        <w:t xml:space="preserve">gli anni </w:t>
      </w:r>
      <w:r w:rsidR="00285209">
        <w:rPr>
          <w:rFonts w:ascii="Times New Roman" w:hAnsi="Times New Roman"/>
          <w:sz w:val="24"/>
          <w:szCs w:val="24"/>
        </w:rPr>
        <w:t>2013-14 e 2014-15</w:t>
      </w:r>
      <w:r>
        <w:rPr>
          <w:rFonts w:ascii="Times New Roman" w:hAnsi="Times New Roman"/>
          <w:sz w:val="24"/>
          <w:szCs w:val="24"/>
        </w:rPr>
        <w:t xml:space="preserve"> (ad oggi)</w:t>
      </w:r>
      <w:r w:rsidR="00285209">
        <w:rPr>
          <w:rFonts w:ascii="Times New Roman" w:hAnsi="Times New Roman"/>
          <w:sz w:val="24"/>
          <w:szCs w:val="24"/>
        </w:rPr>
        <w:t>.</w:t>
      </w:r>
      <w:r w:rsidR="00BC4889">
        <w:rPr>
          <w:rFonts w:ascii="Times New Roman" w:hAnsi="Times New Roman"/>
          <w:sz w:val="24"/>
          <w:szCs w:val="24"/>
        </w:rPr>
        <w:t xml:space="preserve"> </w:t>
      </w:r>
    </w:p>
    <w:p w:rsidR="000F2B5E" w:rsidRDefault="000F2B5E" w:rsidP="00B8490C">
      <w:pPr>
        <w:pStyle w:val="Paragrafoelenco"/>
        <w:spacing w:after="0" w:line="360" w:lineRule="auto"/>
        <w:ind w:left="0"/>
        <w:jc w:val="both"/>
        <w:rPr>
          <w:rFonts w:ascii="Times New Roman" w:hAnsi="Times New Roman"/>
          <w:sz w:val="24"/>
          <w:szCs w:val="24"/>
        </w:rPr>
      </w:pPr>
    </w:p>
    <w:p w:rsidR="00AD4334" w:rsidRPr="001B1270" w:rsidRDefault="00AD4334" w:rsidP="00AD4334">
      <w:pPr>
        <w:pStyle w:val="Paragrafoelenco"/>
        <w:numPr>
          <w:ilvl w:val="0"/>
          <w:numId w:val="2"/>
        </w:numPr>
        <w:spacing w:after="0" w:line="360" w:lineRule="auto"/>
        <w:ind w:left="0" w:firstLine="0"/>
        <w:jc w:val="both"/>
        <w:rPr>
          <w:rFonts w:ascii="Times New Roman" w:hAnsi="Times New Roman"/>
          <w:sz w:val="24"/>
          <w:szCs w:val="24"/>
          <w:u w:val="single"/>
        </w:rPr>
      </w:pPr>
      <w:r w:rsidRPr="001B1270">
        <w:rPr>
          <w:rFonts w:ascii="Times New Roman" w:hAnsi="Times New Roman"/>
          <w:sz w:val="24"/>
          <w:szCs w:val="24"/>
          <w:u w:val="single"/>
        </w:rPr>
        <w:t>CALCOLO degli INDICATORI MINISTERIALI per la previsione della VALUTAZIONE MIUR</w:t>
      </w:r>
    </w:p>
    <w:p w:rsidR="001933E1" w:rsidRDefault="001933E1" w:rsidP="00AD4334">
      <w:pPr>
        <w:pStyle w:val="Paragrafoelenco"/>
        <w:spacing w:after="0" w:line="360" w:lineRule="auto"/>
        <w:ind w:left="0"/>
        <w:jc w:val="both"/>
        <w:rPr>
          <w:rFonts w:ascii="Times New Roman" w:hAnsi="Times New Roman"/>
          <w:sz w:val="24"/>
          <w:szCs w:val="24"/>
        </w:rPr>
      </w:pPr>
      <w:r>
        <w:rPr>
          <w:rFonts w:ascii="Times New Roman" w:hAnsi="Times New Roman"/>
          <w:sz w:val="24"/>
          <w:szCs w:val="24"/>
        </w:rPr>
        <w:t xml:space="preserve">E’ </w:t>
      </w:r>
      <w:r w:rsidR="000F2B5E">
        <w:rPr>
          <w:rFonts w:ascii="Times New Roman" w:hAnsi="Times New Roman"/>
          <w:sz w:val="24"/>
          <w:szCs w:val="24"/>
        </w:rPr>
        <w:t xml:space="preserve">stato reso </w:t>
      </w:r>
      <w:r>
        <w:rPr>
          <w:rFonts w:ascii="Times New Roman" w:hAnsi="Times New Roman"/>
          <w:sz w:val="24"/>
          <w:szCs w:val="24"/>
        </w:rPr>
        <w:t xml:space="preserve">noto al PQA che l’ateneo ha sperimentato con successo il calcolo degli indicatori ministeriali di base nella definizione del FFO (attività coordinate dal </w:t>
      </w:r>
      <w:r w:rsidR="00AD4334">
        <w:rPr>
          <w:rFonts w:ascii="Times New Roman" w:hAnsi="Times New Roman"/>
          <w:sz w:val="24"/>
          <w:szCs w:val="24"/>
        </w:rPr>
        <w:t xml:space="preserve">delegato del Rettore, </w:t>
      </w:r>
      <w:r>
        <w:rPr>
          <w:rFonts w:ascii="Times New Roman" w:hAnsi="Times New Roman"/>
          <w:sz w:val="24"/>
          <w:szCs w:val="24"/>
        </w:rPr>
        <w:t xml:space="preserve">Prof. G. Carbone), che ne permette da oggi la previsione ex ante </w:t>
      </w:r>
      <w:r w:rsidRPr="00BC35E6">
        <w:rPr>
          <w:rFonts w:ascii="Times New Roman" w:hAnsi="Times New Roman"/>
          <w:sz w:val="24"/>
          <w:szCs w:val="24"/>
        </w:rPr>
        <w:t>secondo il DM.</w:t>
      </w:r>
      <w:r w:rsidR="0033675A" w:rsidRPr="00BC35E6">
        <w:rPr>
          <w:rFonts w:ascii="Times New Roman" w:hAnsi="Times New Roman"/>
          <w:sz w:val="24"/>
          <w:szCs w:val="24"/>
        </w:rPr>
        <w:t>815 del 4.11.2014</w:t>
      </w:r>
      <w:r w:rsidR="00AD4334" w:rsidRPr="00BC35E6">
        <w:rPr>
          <w:rFonts w:ascii="Times New Roman" w:hAnsi="Times New Roman"/>
          <w:sz w:val="24"/>
          <w:szCs w:val="24"/>
        </w:rPr>
        <w:t>,</w:t>
      </w:r>
      <w:r w:rsidRPr="00BC35E6">
        <w:rPr>
          <w:rFonts w:ascii="Times New Roman" w:hAnsi="Times New Roman"/>
          <w:sz w:val="24"/>
          <w:szCs w:val="24"/>
        </w:rPr>
        <w:t xml:space="preserve"> a grande</w:t>
      </w:r>
      <w:r>
        <w:rPr>
          <w:rFonts w:ascii="Times New Roman" w:hAnsi="Times New Roman"/>
          <w:sz w:val="24"/>
          <w:szCs w:val="24"/>
        </w:rPr>
        <w:t xml:space="preserve"> beneficio della programmazione.</w:t>
      </w:r>
    </w:p>
    <w:p w:rsidR="00AD4334" w:rsidRDefault="00AD4334" w:rsidP="00AD4334">
      <w:pPr>
        <w:pStyle w:val="Paragrafoelenco"/>
        <w:spacing w:after="0" w:line="360" w:lineRule="auto"/>
        <w:ind w:left="0"/>
        <w:jc w:val="both"/>
        <w:rPr>
          <w:rFonts w:ascii="Times New Roman" w:hAnsi="Times New Roman"/>
          <w:sz w:val="24"/>
          <w:szCs w:val="24"/>
        </w:rPr>
      </w:pPr>
      <w:r w:rsidRPr="00B40049">
        <w:rPr>
          <w:rFonts w:ascii="Times New Roman" w:hAnsi="Times New Roman"/>
          <w:sz w:val="24"/>
          <w:szCs w:val="24"/>
          <w:u w:val="single"/>
        </w:rPr>
        <w:t>Si chiede ag</w:t>
      </w:r>
      <w:r w:rsidR="00B40049">
        <w:rPr>
          <w:rFonts w:ascii="Times New Roman" w:hAnsi="Times New Roman"/>
          <w:sz w:val="24"/>
          <w:szCs w:val="24"/>
          <w:u w:val="single"/>
        </w:rPr>
        <w:t>giornamento circa il calcolo deg</w:t>
      </w:r>
      <w:r w:rsidRPr="00B40049">
        <w:rPr>
          <w:rFonts w:ascii="Times New Roman" w:hAnsi="Times New Roman"/>
          <w:sz w:val="24"/>
          <w:szCs w:val="24"/>
          <w:u w:val="single"/>
        </w:rPr>
        <w:t>l</w:t>
      </w:r>
      <w:r w:rsidR="00B40049">
        <w:rPr>
          <w:rFonts w:ascii="Times New Roman" w:hAnsi="Times New Roman"/>
          <w:sz w:val="24"/>
          <w:szCs w:val="24"/>
          <w:u w:val="single"/>
        </w:rPr>
        <w:t xml:space="preserve">i </w:t>
      </w:r>
      <w:r w:rsidRPr="00B40049">
        <w:rPr>
          <w:rFonts w:ascii="Times New Roman" w:hAnsi="Times New Roman"/>
          <w:sz w:val="24"/>
          <w:szCs w:val="24"/>
          <w:u w:val="single"/>
        </w:rPr>
        <w:t>indicator</w:t>
      </w:r>
      <w:r w:rsidR="00B40049">
        <w:rPr>
          <w:rFonts w:ascii="Times New Roman" w:hAnsi="Times New Roman"/>
          <w:sz w:val="24"/>
          <w:szCs w:val="24"/>
          <w:u w:val="single"/>
        </w:rPr>
        <w:t>i</w:t>
      </w:r>
      <w:r w:rsidRPr="00B40049">
        <w:rPr>
          <w:rFonts w:ascii="Times New Roman" w:hAnsi="Times New Roman"/>
          <w:sz w:val="24"/>
          <w:szCs w:val="24"/>
          <w:u w:val="single"/>
        </w:rPr>
        <w:t xml:space="preserve"> del progetto POP </w:t>
      </w:r>
      <w:r w:rsidR="00E24319" w:rsidRPr="00B40049">
        <w:rPr>
          <w:rFonts w:ascii="Times New Roman" w:hAnsi="Times New Roman"/>
          <w:sz w:val="24"/>
          <w:szCs w:val="24"/>
          <w:u w:val="single"/>
        </w:rPr>
        <w:t xml:space="preserve">finanziato dal MIUR nell’ambito delle azioni di sviluppo triennale dell’ateneo, calcolo svolto in seno all’ateneo </w:t>
      </w:r>
      <w:r w:rsidRPr="00B40049">
        <w:rPr>
          <w:rFonts w:ascii="Times New Roman" w:hAnsi="Times New Roman"/>
          <w:sz w:val="24"/>
          <w:szCs w:val="24"/>
          <w:u w:val="single"/>
        </w:rPr>
        <w:t>sulla base dei dati di cui al punto 2,</w:t>
      </w:r>
      <w:r w:rsidR="00E24319" w:rsidRPr="00B40049">
        <w:rPr>
          <w:rFonts w:ascii="Times New Roman" w:hAnsi="Times New Roman"/>
          <w:sz w:val="24"/>
          <w:szCs w:val="24"/>
          <w:u w:val="single"/>
        </w:rPr>
        <w:t xml:space="preserve"> a confronto con i valor</w:t>
      </w:r>
      <w:r w:rsidR="00B40049">
        <w:rPr>
          <w:rFonts w:ascii="Times New Roman" w:hAnsi="Times New Roman"/>
          <w:sz w:val="24"/>
          <w:szCs w:val="24"/>
          <w:u w:val="single"/>
        </w:rPr>
        <w:t>i</w:t>
      </w:r>
      <w:r w:rsidR="00E24319" w:rsidRPr="00B40049">
        <w:rPr>
          <w:rFonts w:ascii="Times New Roman" w:hAnsi="Times New Roman"/>
          <w:sz w:val="24"/>
          <w:szCs w:val="24"/>
          <w:u w:val="single"/>
        </w:rPr>
        <w:t xml:space="preserve"> de</w:t>
      </w:r>
      <w:r w:rsidR="00B40049">
        <w:rPr>
          <w:rFonts w:ascii="Times New Roman" w:hAnsi="Times New Roman"/>
          <w:sz w:val="24"/>
          <w:szCs w:val="24"/>
          <w:u w:val="single"/>
        </w:rPr>
        <w:t>g</w:t>
      </w:r>
      <w:r w:rsidR="00E24319" w:rsidRPr="00B40049">
        <w:rPr>
          <w:rFonts w:ascii="Times New Roman" w:hAnsi="Times New Roman"/>
          <w:sz w:val="24"/>
          <w:szCs w:val="24"/>
          <w:u w:val="single"/>
        </w:rPr>
        <w:t>l</w:t>
      </w:r>
      <w:r w:rsidR="00B40049">
        <w:rPr>
          <w:rFonts w:ascii="Times New Roman" w:hAnsi="Times New Roman"/>
          <w:sz w:val="24"/>
          <w:szCs w:val="24"/>
          <w:u w:val="single"/>
        </w:rPr>
        <w:t xml:space="preserve">i </w:t>
      </w:r>
      <w:r w:rsidR="00E24319" w:rsidRPr="00B40049">
        <w:rPr>
          <w:rFonts w:ascii="Times New Roman" w:hAnsi="Times New Roman"/>
          <w:sz w:val="24"/>
          <w:szCs w:val="24"/>
          <w:u w:val="single"/>
        </w:rPr>
        <w:t>indicator</w:t>
      </w:r>
      <w:r w:rsidR="00B40049">
        <w:rPr>
          <w:rFonts w:ascii="Times New Roman" w:hAnsi="Times New Roman"/>
          <w:sz w:val="24"/>
          <w:szCs w:val="24"/>
          <w:u w:val="single"/>
        </w:rPr>
        <w:t>i calcolati</w:t>
      </w:r>
      <w:r w:rsidR="00E24319" w:rsidRPr="00B40049">
        <w:rPr>
          <w:rFonts w:ascii="Times New Roman" w:hAnsi="Times New Roman"/>
          <w:sz w:val="24"/>
          <w:szCs w:val="24"/>
          <w:u w:val="single"/>
        </w:rPr>
        <w:t xml:space="preserve"> dal MIUR in PRO3</w:t>
      </w:r>
      <w:r>
        <w:rPr>
          <w:rFonts w:ascii="Times New Roman" w:hAnsi="Times New Roman"/>
          <w:sz w:val="24"/>
          <w:szCs w:val="24"/>
        </w:rPr>
        <w:t>.</w:t>
      </w:r>
    </w:p>
    <w:p w:rsidR="000F2B5E" w:rsidRPr="00B8490C" w:rsidRDefault="000F2B5E" w:rsidP="00AD4334">
      <w:pPr>
        <w:pStyle w:val="Paragrafoelenco"/>
        <w:spacing w:after="0" w:line="360" w:lineRule="auto"/>
        <w:ind w:left="0"/>
        <w:jc w:val="both"/>
        <w:rPr>
          <w:rFonts w:ascii="Times New Roman" w:hAnsi="Times New Roman"/>
          <w:sz w:val="24"/>
          <w:szCs w:val="24"/>
        </w:rPr>
      </w:pPr>
    </w:p>
    <w:p w:rsidR="008663F9" w:rsidRPr="001B1270" w:rsidRDefault="00E24319" w:rsidP="00E24319">
      <w:pPr>
        <w:pStyle w:val="Paragrafoelenco"/>
        <w:numPr>
          <w:ilvl w:val="0"/>
          <w:numId w:val="2"/>
        </w:numPr>
        <w:spacing w:after="0" w:line="360" w:lineRule="auto"/>
        <w:ind w:left="0" w:firstLine="0"/>
        <w:jc w:val="both"/>
        <w:rPr>
          <w:rFonts w:ascii="Times New Roman" w:hAnsi="Times New Roman"/>
          <w:sz w:val="24"/>
          <w:szCs w:val="24"/>
          <w:u w:val="single"/>
        </w:rPr>
      </w:pPr>
      <w:r w:rsidRPr="001B1270">
        <w:rPr>
          <w:rFonts w:ascii="Times New Roman" w:hAnsi="Times New Roman"/>
          <w:sz w:val="24"/>
          <w:szCs w:val="24"/>
          <w:u w:val="single"/>
        </w:rPr>
        <w:t>VALUTAZIONE ANVUR dell’EROGAZIONE della FORMAZIONE</w:t>
      </w:r>
      <w:r w:rsidR="00A84EAC">
        <w:rPr>
          <w:rFonts w:ascii="Times New Roman" w:hAnsi="Times New Roman"/>
          <w:sz w:val="24"/>
          <w:szCs w:val="24"/>
          <w:u w:val="single"/>
        </w:rPr>
        <w:t xml:space="preserve"> POLIBA </w:t>
      </w:r>
      <w:r w:rsidRPr="001B1270">
        <w:rPr>
          <w:rFonts w:ascii="Times New Roman" w:hAnsi="Times New Roman"/>
          <w:sz w:val="24"/>
          <w:szCs w:val="24"/>
          <w:u w:val="single"/>
        </w:rPr>
        <w:t>/ PROVVISORIA</w:t>
      </w:r>
    </w:p>
    <w:p w:rsidR="002332E9" w:rsidRPr="002332E9" w:rsidRDefault="002332E9" w:rsidP="002332E9">
      <w:pPr>
        <w:spacing w:line="360" w:lineRule="auto"/>
        <w:jc w:val="both"/>
        <w:rPr>
          <w:rFonts w:ascii="Times New Roman" w:hAnsi="Times New Roman"/>
          <w:sz w:val="24"/>
          <w:szCs w:val="24"/>
        </w:rPr>
      </w:pPr>
      <w:r w:rsidRPr="002332E9">
        <w:rPr>
          <w:rFonts w:ascii="Times New Roman" w:hAnsi="Times New Roman"/>
          <w:sz w:val="24"/>
          <w:szCs w:val="24"/>
        </w:rPr>
        <w:t xml:space="preserve">L’ANVUR, nell’ambito delle attività </w:t>
      </w:r>
      <w:r w:rsidR="00B40049">
        <w:rPr>
          <w:rFonts w:ascii="Times New Roman" w:hAnsi="Times New Roman"/>
          <w:sz w:val="24"/>
          <w:szCs w:val="24"/>
        </w:rPr>
        <w:t xml:space="preserve">di </w:t>
      </w:r>
      <w:r w:rsidRPr="002332E9">
        <w:rPr>
          <w:rFonts w:ascii="Times New Roman" w:hAnsi="Times New Roman"/>
          <w:sz w:val="24"/>
          <w:szCs w:val="24"/>
        </w:rPr>
        <w:t>accreditamento e valutazione del sistema AVA, ha messo a disposizione degli Atenei alcuni indicatori sulle carriere degli studenti e sui risultati delle attività formative, elaborati sia a livello di Ateneo che di singolo Corso di Studio, sulla base delle informazioni contenute nell’Anagrafe Nazionale Studenti per gli anni accademici 2010-2011; 2011/2012 e 2012/2013.  Gli indicatori</w:t>
      </w:r>
      <w:r w:rsidR="00B40049">
        <w:rPr>
          <w:rFonts w:ascii="Times New Roman" w:hAnsi="Times New Roman"/>
          <w:sz w:val="24"/>
          <w:szCs w:val="24"/>
        </w:rPr>
        <w:t>,</w:t>
      </w:r>
      <w:r w:rsidRPr="002332E9">
        <w:rPr>
          <w:rFonts w:ascii="Times New Roman" w:hAnsi="Times New Roman"/>
          <w:sz w:val="24"/>
          <w:szCs w:val="24"/>
        </w:rPr>
        <w:t xml:space="preserve"> di cui all’Allegato F del DM 47/2013</w:t>
      </w:r>
      <w:r w:rsidR="00B40049">
        <w:rPr>
          <w:rFonts w:ascii="Times New Roman" w:hAnsi="Times New Roman"/>
          <w:sz w:val="24"/>
          <w:szCs w:val="24"/>
        </w:rPr>
        <w:t>,</w:t>
      </w:r>
      <w:r w:rsidRPr="002332E9">
        <w:rPr>
          <w:rFonts w:ascii="Times New Roman" w:hAnsi="Times New Roman"/>
          <w:sz w:val="24"/>
          <w:szCs w:val="24"/>
        </w:rPr>
        <w:t xml:space="preserve"> sono stati selezionati e rielaborati a cura dell’ANVUR ed organizzati in due distinte Schede riepilogative, al fine di facilitare la lettura degli indicatori: una di Ateneo e una per ciascun </w:t>
      </w:r>
      <w:proofErr w:type="spellStart"/>
      <w:r w:rsidRPr="002332E9">
        <w:rPr>
          <w:rFonts w:ascii="Times New Roman" w:hAnsi="Times New Roman"/>
          <w:sz w:val="24"/>
          <w:szCs w:val="24"/>
        </w:rPr>
        <w:t>CdS</w:t>
      </w:r>
      <w:proofErr w:type="spellEnd"/>
      <w:r w:rsidRPr="002332E9">
        <w:rPr>
          <w:rFonts w:ascii="Times New Roman" w:hAnsi="Times New Roman"/>
          <w:sz w:val="24"/>
          <w:szCs w:val="24"/>
        </w:rPr>
        <w:t xml:space="preserve">. Tali indicatori rappresentano un primo strumento di monitoraggio della politica di qualità della didattica degli Atenei, e saranno a disposizione dell’ANVUR e delle CEV quale supporto informativo necessario per le attività connesse all’accreditamento periodico delle sedi e dei Corsi di studio, oltre che per la valutazione periodica della didattica. Si riportano, di seguito, gli indicatori per aree tematiche, utilizzati dall’ANVUR per Ateneo e </w:t>
      </w:r>
      <w:proofErr w:type="spellStart"/>
      <w:r w:rsidRPr="002332E9">
        <w:rPr>
          <w:rFonts w:ascii="Times New Roman" w:hAnsi="Times New Roman"/>
          <w:sz w:val="24"/>
          <w:szCs w:val="24"/>
        </w:rPr>
        <w:t>CdS</w:t>
      </w:r>
      <w:proofErr w:type="spellEnd"/>
      <w:r w:rsidRPr="002332E9">
        <w:rPr>
          <w:rFonts w:ascii="Times New Roman" w:hAnsi="Times New Roman"/>
          <w:sz w:val="24"/>
          <w:szCs w:val="24"/>
        </w:rPr>
        <w:t>.</w:t>
      </w:r>
    </w:p>
    <w:p w:rsidR="002332E9" w:rsidRPr="002332E9" w:rsidRDefault="002332E9" w:rsidP="002332E9">
      <w:pPr>
        <w:spacing w:line="360" w:lineRule="auto"/>
        <w:jc w:val="both"/>
        <w:rPr>
          <w:rFonts w:ascii="Times New Roman" w:hAnsi="Times New Roman"/>
          <w:sz w:val="24"/>
          <w:szCs w:val="24"/>
        </w:rPr>
      </w:pPr>
      <w:r w:rsidRPr="002332E9">
        <w:rPr>
          <w:rFonts w:ascii="Times New Roman" w:hAnsi="Times New Roman"/>
          <w:noProof/>
          <w:sz w:val="24"/>
          <w:szCs w:val="24"/>
        </w:rPr>
        <w:lastRenderedPageBreak/>
        <w:drawing>
          <wp:inline distT="0" distB="0" distL="0" distR="0">
            <wp:extent cx="6120130" cy="3463913"/>
            <wp:effectExtent l="0" t="0" r="0" b="381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3463913"/>
                    </a:xfrm>
                    <a:prstGeom prst="rect">
                      <a:avLst/>
                    </a:prstGeom>
                    <a:noFill/>
                    <a:ln>
                      <a:noFill/>
                    </a:ln>
                  </pic:spPr>
                </pic:pic>
              </a:graphicData>
            </a:graphic>
          </wp:inline>
        </w:drawing>
      </w:r>
    </w:p>
    <w:p w:rsidR="002332E9" w:rsidRPr="002332E9" w:rsidRDefault="002332E9" w:rsidP="002332E9">
      <w:pPr>
        <w:spacing w:line="360" w:lineRule="auto"/>
        <w:jc w:val="both"/>
        <w:rPr>
          <w:rFonts w:ascii="Times New Roman" w:hAnsi="Times New Roman"/>
          <w:sz w:val="24"/>
          <w:szCs w:val="24"/>
        </w:rPr>
      </w:pPr>
      <w:r w:rsidRPr="002332E9">
        <w:rPr>
          <w:rFonts w:ascii="Times New Roman" w:hAnsi="Times New Roman"/>
          <w:noProof/>
          <w:sz w:val="24"/>
          <w:szCs w:val="24"/>
        </w:rPr>
        <w:drawing>
          <wp:inline distT="0" distB="0" distL="0" distR="0">
            <wp:extent cx="6120130" cy="2858989"/>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2858989"/>
                    </a:xfrm>
                    <a:prstGeom prst="rect">
                      <a:avLst/>
                    </a:prstGeom>
                    <a:noFill/>
                    <a:ln>
                      <a:noFill/>
                    </a:ln>
                  </pic:spPr>
                </pic:pic>
              </a:graphicData>
            </a:graphic>
          </wp:inline>
        </w:drawing>
      </w:r>
    </w:p>
    <w:p w:rsidR="002332E9" w:rsidRPr="002332E9" w:rsidRDefault="002332E9" w:rsidP="002332E9">
      <w:pPr>
        <w:spacing w:line="360" w:lineRule="auto"/>
        <w:jc w:val="both"/>
        <w:rPr>
          <w:rFonts w:ascii="Times New Roman" w:hAnsi="Times New Roman"/>
          <w:sz w:val="24"/>
          <w:szCs w:val="24"/>
        </w:rPr>
      </w:pPr>
      <w:r w:rsidRPr="002332E9">
        <w:rPr>
          <w:rFonts w:ascii="Times New Roman" w:hAnsi="Times New Roman"/>
          <w:sz w:val="24"/>
          <w:szCs w:val="24"/>
        </w:rPr>
        <w:t xml:space="preserve">Gli indicatori di Ateneo sono normalizzati per aree di aggregazione (costituite da tutti i </w:t>
      </w:r>
      <w:proofErr w:type="spellStart"/>
      <w:r w:rsidRPr="002332E9">
        <w:rPr>
          <w:rFonts w:ascii="Times New Roman" w:hAnsi="Times New Roman"/>
          <w:sz w:val="24"/>
          <w:szCs w:val="24"/>
        </w:rPr>
        <w:t>CdS</w:t>
      </w:r>
      <w:proofErr w:type="spellEnd"/>
      <w:r w:rsidRPr="002332E9">
        <w:rPr>
          <w:rFonts w:ascii="Times New Roman" w:hAnsi="Times New Roman"/>
          <w:sz w:val="24"/>
          <w:szCs w:val="24"/>
        </w:rPr>
        <w:t xml:space="preserve"> dello stesso tipo, della stessa area CUN e con la medesima tipologia di accesso), rapportando ciascun indicatore alla media nazionale di area e ponderandolo rispetto al peso dell’area all’interno dell’Ateneo. </w:t>
      </w:r>
      <w:r w:rsidRPr="002332E9">
        <w:rPr>
          <w:rFonts w:ascii="Times New Roman" w:hAnsi="Times New Roman"/>
          <w:b/>
          <w:sz w:val="24"/>
          <w:szCs w:val="24"/>
        </w:rPr>
        <w:t xml:space="preserve">L’indicatore, quindi, assume valori superiori a 1 se l’Ateneo è mediamente superiore alle medie di AREA; inferiori a 1 se l’Ateneo è mediamente inferiore alle medie di AREA. </w:t>
      </w:r>
      <w:r w:rsidRPr="002332E9">
        <w:rPr>
          <w:rFonts w:ascii="Times New Roman" w:hAnsi="Times New Roman"/>
          <w:sz w:val="24"/>
          <w:szCs w:val="24"/>
        </w:rPr>
        <w:t xml:space="preserve">A livello di singolo Corso di studio, l’indicatore, invece, </w:t>
      </w:r>
      <w:r w:rsidR="00B40049">
        <w:rPr>
          <w:rFonts w:ascii="Times New Roman" w:hAnsi="Times New Roman"/>
          <w:sz w:val="24"/>
          <w:szCs w:val="24"/>
        </w:rPr>
        <w:t xml:space="preserve">non </w:t>
      </w:r>
      <w:r w:rsidRPr="002332E9">
        <w:rPr>
          <w:rFonts w:ascii="Times New Roman" w:hAnsi="Times New Roman"/>
          <w:sz w:val="24"/>
          <w:szCs w:val="24"/>
        </w:rPr>
        <w:t xml:space="preserve">è </w:t>
      </w:r>
      <w:r w:rsidR="00B40049">
        <w:rPr>
          <w:rFonts w:ascii="Times New Roman" w:hAnsi="Times New Roman"/>
          <w:sz w:val="24"/>
          <w:szCs w:val="24"/>
        </w:rPr>
        <w:t>né normalizzato, né ponderato (</w:t>
      </w:r>
      <w:r w:rsidRPr="002332E9">
        <w:rPr>
          <w:rFonts w:ascii="Times New Roman" w:hAnsi="Times New Roman"/>
          <w:sz w:val="24"/>
          <w:szCs w:val="24"/>
        </w:rPr>
        <w:t>semplice</w:t>
      </w:r>
      <w:r w:rsidR="00B40049">
        <w:rPr>
          <w:rFonts w:ascii="Times New Roman" w:hAnsi="Times New Roman"/>
          <w:sz w:val="24"/>
          <w:szCs w:val="24"/>
        </w:rPr>
        <w:t>),</w:t>
      </w:r>
      <w:r w:rsidRPr="002332E9">
        <w:rPr>
          <w:rFonts w:ascii="Times New Roman" w:hAnsi="Times New Roman"/>
          <w:sz w:val="24"/>
          <w:szCs w:val="24"/>
        </w:rPr>
        <w:t xml:space="preserve"> e </w:t>
      </w:r>
      <w:r w:rsidR="00B40049">
        <w:rPr>
          <w:rFonts w:ascii="Times New Roman" w:hAnsi="Times New Roman"/>
          <w:sz w:val="24"/>
          <w:szCs w:val="24"/>
        </w:rPr>
        <w:t>rappresentato</w:t>
      </w:r>
      <w:r w:rsidRPr="002332E9">
        <w:rPr>
          <w:rFonts w:ascii="Times New Roman" w:hAnsi="Times New Roman"/>
          <w:sz w:val="24"/>
          <w:szCs w:val="24"/>
        </w:rPr>
        <w:t xml:space="preserve"> sotto forma di percentuale.</w:t>
      </w:r>
    </w:p>
    <w:p w:rsidR="002332E9" w:rsidRPr="002332E9" w:rsidRDefault="002332E9" w:rsidP="002332E9">
      <w:pPr>
        <w:spacing w:line="360" w:lineRule="auto"/>
        <w:jc w:val="both"/>
        <w:rPr>
          <w:rFonts w:ascii="Times New Roman" w:hAnsi="Times New Roman"/>
          <w:sz w:val="24"/>
          <w:szCs w:val="24"/>
        </w:rPr>
      </w:pPr>
      <w:r w:rsidRPr="002332E9">
        <w:rPr>
          <w:rFonts w:ascii="Times New Roman" w:hAnsi="Times New Roman"/>
          <w:sz w:val="24"/>
          <w:szCs w:val="24"/>
        </w:rPr>
        <w:t xml:space="preserve">Nel seguito è riportata la </w:t>
      </w:r>
      <w:r w:rsidRPr="002332E9">
        <w:rPr>
          <w:rFonts w:ascii="Times New Roman" w:hAnsi="Times New Roman"/>
          <w:b/>
          <w:sz w:val="24"/>
          <w:szCs w:val="24"/>
        </w:rPr>
        <w:t>Scheda Ateneo</w:t>
      </w:r>
      <w:r w:rsidRPr="002332E9">
        <w:rPr>
          <w:rFonts w:ascii="Times New Roman" w:hAnsi="Times New Roman"/>
          <w:sz w:val="24"/>
          <w:szCs w:val="24"/>
        </w:rPr>
        <w:t xml:space="preserve"> del Politecnico di Bari</w:t>
      </w:r>
      <w:r w:rsidR="002E4DFD">
        <w:rPr>
          <w:rFonts w:ascii="Times New Roman" w:hAnsi="Times New Roman"/>
          <w:sz w:val="24"/>
          <w:szCs w:val="24"/>
        </w:rPr>
        <w:t xml:space="preserve"> al Maggio 2015</w:t>
      </w:r>
      <w:r w:rsidRPr="002332E9">
        <w:rPr>
          <w:rFonts w:ascii="Times New Roman" w:hAnsi="Times New Roman"/>
          <w:sz w:val="24"/>
          <w:szCs w:val="24"/>
        </w:rPr>
        <w:t>.</w:t>
      </w:r>
    </w:p>
    <w:p w:rsidR="002332E9" w:rsidRPr="002332E9" w:rsidRDefault="002332E9" w:rsidP="002332E9">
      <w:pPr>
        <w:spacing w:line="360" w:lineRule="auto"/>
        <w:jc w:val="both"/>
        <w:rPr>
          <w:rFonts w:ascii="Times New Roman" w:hAnsi="Times New Roman"/>
          <w:sz w:val="24"/>
          <w:szCs w:val="24"/>
        </w:rPr>
      </w:pPr>
      <w:r w:rsidRPr="002332E9">
        <w:rPr>
          <w:rFonts w:ascii="Times New Roman" w:hAnsi="Times New Roman"/>
          <w:sz w:val="24"/>
          <w:szCs w:val="24"/>
        </w:rPr>
        <w:lastRenderedPageBreak/>
        <w:t xml:space="preserve">Nella prima parte della Scheda sono riepilogati i dati dimensionali dell’Ateneo con riguardo agli studenti e al numero di Corsi erogati dal Politecnico di Bari.  </w:t>
      </w:r>
    </w:p>
    <w:p w:rsidR="002332E9" w:rsidRPr="002332E9" w:rsidRDefault="002332E9" w:rsidP="002332E9">
      <w:pPr>
        <w:spacing w:line="360" w:lineRule="auto"/>
        <w:jc w:val="both"/>
        <w:rPr>
          <w:rFonts w:ascii="Times New Roman" w:hAnsi="Times New Roman"/>
          <w:sz w:val="24"/>
          <w:szCs w:val="24"/>
        </w:rPr>
      </w:pPr>
      <w:r w:rsidRPr="002332E9">
        <w:rPr>
          <w:rFonts w:ascii="Times New Roman" w:hAnsi="Times New Roman"/>
          <w:noProof/>
          <w:sz w:val="24"/>
          <w:szCs w:val="24"/>
        </w:rPr>
        <w:drawing>
          <wp:inline distT="0" distB="0" distL="0" distR="0">
            <wp:extent cx="6120130" cy="215334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2153340"/>
                    </a:xfrm>
                    <a:prstGeom prst="rect">
                      <a:avLst/>
                    </a:prstGeom>
                    <a:noFill/>
                    <a:ln>
                      <a:noFill/>
                    </a:ln>
                  </pic:spPr>
                </pic:pic>
              </a:graphicData>
            </a:graphic>
          </wp:inline>
        </w:drawing>
      </w:r>
    </w:p>
    <w:p w:rsidR="002332E9" w:rsidRPr="002332E9" w:rsidRDefault="002332E9" w:rsidP="002332E9">
      <w:pPr>
        <w:spacing w:line="360" w:lineRule="auto"/>
        <w:jc w:val="both"/>
        <w:rPr>
          <w:rFonts w:ascii="Times New Roman" w:hAnsi="Times New Roman"/>
          <w:sz w:val="24"/>
          <w:szCs w:val="24"/>
        </w:rPr>
      </w:pPr>
      <w:r w:rsidRPr="002332E9">
        <w:rPr>
          <w:rFonts w:ascii="Times New Roman" w:hAnsi="Times New Roman"/>
          <w:sz w:val="24"/>
          <w:szCs w:val="24"/>
        </w:rPr>
        <w:t xml:space="preserve">Si evidenzia, tuttavia, che i dati riportati nella scheda ANVUR non corrispondono a quelli estratti dal cruscotto della didattica e a quelli rivenienti dalla banca dati dell’Osservatorio Studenti/ Didattica (OSD) di fonte ANS, sintetizzati nella tabella successiva. </w:t>
      </w:r>
    </w:p>
    <w:tbl>
      <w:tblPr>
        <w:tblStyle w:val="GridTable1LightAccent3"/>
        <w:tblW w:w="5000" w:type="pct"/>
        <w:tblLook w:val="04A0"/>
      </w:tblPr>
      <w:tblGrid>
        <w:gridCol w:w="1410"/>
        <w:gridCol w:w="1407"/>
        <w:gridCol w:w="1409"/>
        <w:gridCol w:w="1407"/>
        <w:gridCol w:w="1407"/>
        <w:gridCol w:w="1407"/>
        <w:gridCol w:w="1407"/>
      </w:tblGrid>
      <w:tr w:rsidR="002332E9" w:rsidRPr="002332E9" w:rsidTr="002332E9">
        <w:trPr>
          <w:cnfStyle w:val="100000000000"/>
        </w:trPr>
        <w:tc>
          <w:tcPr>
            <w:cnfStyle w:val="001000000000"/>
            <w:tcW w:w="715" w:type="pct"/>
          </w:tcPr>
          <w:p w:rsidR="002332E9" w:rsidRPr="002332E9" w:rsidRDefault="002332E9" w:rsidP="002332E9">
            <w:pPr>
              <w:spacing w:line="360" w:lineRule="auto"/>
              <w:jc w:val="both"/>
              <w:rPr>
                <w:rFonts w:ascii="Times New Roman" w:hAnsi="Times New Roman"/>
                <w:sz w:val="20"/>
                <w:szCs w:val="20"/>
              </w:rPr>
            </w:pPr>
          </w:p>
        </w:tc>
        <w:tc>
          <w:tcPr>
            <w:tcW w:w="1429" w:type="pct"/>
            <w:gridSpan w:val="2"/>
          </w:tcPr>
          <w:p w:rsidR="002332E9" w:rsidRPr="002332E9" w:rsidRDefault="002332E9" w:rsidP="002332E9">
            <w:pPr>
              <w:spacing w:line="360" w:lineRule="auto"/>
              <w:jc w:val="center"/>
              <w:cnfStyle w:val="100000000000"/>
              <w:rPr>
                <w:rFonts w:ascii="Times New Roman" w:hAnsi="Times New Roman"/>
                <w:sz w:val="20"/>
                <w:szCs w:val="20"/>
              </w:rPr>
            </w:pPr>
            <w:proofErr w:type="spellStart"/>
            <w:r w:rsidRPr="002332E9">
              <w:rPr>
                <w:rFonts w:ascii="Times New Roman" w:hAnsi="Times New Roman"/>
                <w:sz w:val="20"/>
                <w:szCs w:val="20"/>
              </w:rPr>
              <w:t>a.a.</w:t>
            </w:r>
            <w:proofErr w:type="spellEnd"/>
            <w:r w:rsidRPr="002332E9">
              <w:rPr>
                <w:rFonts w:ascii="Times New Roman" w:hAnsi="Times New Roman"/>
                <w:sz w:val="20"/>
                <w:szCs w:val="20"/>
              </w:rPr>
              <w:t xml:space="preserve"> 2012/13</w:t>
            </w:r>
          </w:p>
        </w:tc>
        <w:tc>
          <w:tcPr>
            <w:tcW w:w="1428" w:type="pct"/>
            <w:gridSpan w:val="2"/>
          </w:tcPr>
          <w:p w:rsidR="002332E9" w:rsidRPr="002332E9" w:rsidRDefault="002332E9" w:rsidP="002332E9">
            <w:pPr>
              <w:spacing w:line="360" w:lineRule="auto"/>
              <w:jc w:val="center"/>
              <w:cnfStyle w:val="100000000000"/>
              <w:rPr>
                <w:rFonts w:ascii="Times New Roman" w:hAnsi="Times New Roman"/>
                <w:sz w:val="20"/>
                <w:szCs w:val="20"/>
              </w:rPr>
            </w:pPr>
            <w:proofErr w:type="spellStart"/>
            <w:r w:rsidRPr="002332E9">
              <w:rPr>
                <w:rFonts w:ascii="Times New Roman" w:hAnsi="Times New Roman"/>
                <w:sz w:val="20"/>
                <w:szCs w:val="20"/>
              </w:rPr>
              <w:t>a.a.</w:t>
            </w:r>
            <w:proofErr w:type="spellEnd"/>
            <w:r w:rsidRPr="002332E9">
              <w:rPr>
                <w:rFonts w:ascii="Times New Roman" w:hAnsi="Times New Roman"/>
                <w:sz w:val="20"/>
                <w:szCs w:val="20"/>
              </w:rPr>
              <w:t xml:space="preserve"> 2011/12</w:t>
            </w:r>
          </w:p>
        </w:tc>
        <w:tc>
          <w:tcPr>
            <w:tcW w:w="1428" w:type="pct"/>
            <w:gridSpan w:val="2"/>
          </w:tcPr>
          <w:p w:rsidR="002332E9" w:rsidRPr="002332E9" w:rsidRDefault="002332E9" w:rsidP="002332E9">
            <w:pPr>
              <w:spacing w:line="360" w:lineRule="auto"/>
              <w:jc w:val="center"/>
              <w:cnfStyle w:val="100000000000"/>
              <w:rPr>
                <w:rFonts w:ascii="Times New Roman" w:hAnsi="Times New Roman"/>
                <w:sz w:val="20"/>
                <w:szCs w:val="20"/>
              </w:rPr>
            </w:pPr>
            <w:proofErr w:type="spellStart"/>
            <w:r w:rsidRPr="002332E9">
              <w:rPr>
                <w:rFonts w:ascii="Times New Roman" w:hAnsi="Times New Roman"/>
                <w:sz w:val="20"/>
                <w:szCs w:val="20"/>
              </w:rPr>
              <w:t>a.a.</w:t>
            </w:r>
            <w:proofErr w:type="spellEnd"/>
            <w:r w:rsidRPr="002332E9">
              <w:rPr>
                <w:rFonts w:ascii="Times New Roman" w:hAnsi="Times New Roman"/>
                <w:sz w:val="20"/>
                <w:szCs w:val="20"/>
              </w:rPr>
              <w:t xml:space="preserve"> 2010/11</w:t>
            </w:r>
          </w:p>
        </w:tc>
      </w:tr>
      <w:tr w:rsidR="002332E9" w:rsidRPr="002332E9" w:rsidTr="002332E9">
        <w:tc>
          <w:tcPr>
            <w:cnfStyle w:val="001000000000"/>
            <w:tcW w:w="715" w:type="pct"/>
          </w:tcPr>
          <w:p w:rsidR="002332E9" w:rsidRPr="002332E9" w:rsidRDefault="002332E9" w:rsidP="002332E9">
            <w:pPr>
              <w:spacing w:line="360" w:lineRule="auto"/>
              <w:jc w:val="both"/>
              <w:rPr>
                <w:rFonts w:ascii="Times New Roman" w:hAnsi="Times New Roman"/>
                <w:sz w:val="20"/>
                <w:szCs w:val="20"/>
              </w:rPr>
            </w:pPr>
          </w:p>
        </w:tc>
        <w:tc>
          <w:tcPr>
            <w:tcW w:w="714" w:type="pct"/>
          </w:tcPr>
          <w:p w:rsidR="002332E9" w:rsidRPr="002332E9" w:rsidRDefault="002332E9" w:rsidP="002332E9">
            <w:pPr>
              <w:spacing w:line="360" w:lineRule="auto"/>
              <w:jc w:val="both"/>
              <w:cnfStyle w:val="000000000000"/>
              <w:rPr>
                <w:rFonts w:ascii="Times New Roman" w:hAnsi="Times New Roman"/>
                <w:sz w:val="20"/>
                <w:szCs w:val="20"/>
              </w:rPr>
            </w:pPr>
            <w:r w:rsidRPr="002332E9">
              <w:rPr>
                <w:rFonts w:ascii="Times New Roman" w:hAnsi="Times New Roman"/>
                <w:sz w:val="20"/>
                <w:szCs w:val="20"/>
              </w:rPr>
              <w:t>OSD</w:t>
            </w:r>
          </w:p>
        </w:tc>
        <w:tc>
          <w:tcPr>
            <w:tcW w:w="715" w:type="pct"/>
          </w:tcPr>
          <w:p w:rsidR="002332E9" w:rsidRPr="002332E9" w:rsidRDefault="002332E9" w:rsidP="002332E9">
            <w:pPr>
              <w:spacing w:line="360" w:lineRule="auto"/>
              <w:jc w:val="both"/>
              <w:cnfStyle w:val="000000000000"/>
              <w:rPr>
                <w:rFonts w:ascii="Times New Roman" w:hAnsi="Times New Roman"/>
                <w:sz w:val="20"/>
                <w:szCs w:val="20"/>
              </w:rPr>
            </w:pPr>
            <w:r w:rsidRPr="002332E9">
              <w:rPr>
                <w:rFonts w:ascii="Times New Roman" w:hAnsi="Times New Roman"/>
                <w:sz w:val="20"/>
                <w:szCs w:val="20"/>
              </w:rPr>
              <w:t>Cruscotto</w:t>
            </w:r>
          </w:p>
        </w:tc>
        <w:tc>
          <w:tcPr>
            <w:tcW w:w="714" w:type="pct"/>
          </w:tcPr>
          <w:p w:rsidR="002332E9" w:rsidRPr="002332E9" w:rsidRDefault="002332E9" w:rsidP="002332E9">
            <w:pPr>
              <w:spacing w:line="360" w:lineRule="auto"/>
              <w:jc w:val="both"/>
              <w:cnfStyle w:val="000000000000"/>
              <w:rPr>
                <w:rFonts w:ascii="Times New Roman" w:hAnsi="Times New Roman"/>
                <w:sz w:val="20"/>
                <w:szCs w:val="20"/>
              </w:rPr>
            </w:pPr>
            <w:r w:rsidRPr="002332E9">
              <w:rPr>
                <w:rFonts w:ascii="Times New Roman" w:hAnsi="Times New Roman"/>
                <w:sz w:val="20"/>
                <w:szCs w:val="20"/>
              </w:rPr>
              <w:t>OSD</w:t>
            </w:r>
          </w:p>
        </w:tc>
        <w:tc>
          <w:tcPr>
            <w:tcW w:w="714" w:type="pct"/>
          </w:tcPr>
          <w:p w:rsidR="002332E9" w:rsidRPr="002332E9" w:rsidRDefault="002332E9" w:rsidP="002332E9">
            <w:pPr>
              <w:spacing w:line="360" w:lineRule="auto"/>
              <w:jc w:val="both"/>
              <w:cnfStyle w:val="000000000000"/>
              <w:rPr>
                <w:rFonts w:ascii="Times New Roman" w:hAnsi="Times New Roman"/>
                <w:sz w:val="20"/>
                <w:szCs w:val="20"/>
              </w:rPr>
            </w:pPr>
            <w:r w:rsidRPr="002332E9">
              <w:rPr>
                <w:rFonts w:ascii="Times New Roman" w:hAnsi="Times New Roman"/>
                <w:sz w:val="20"/>
                <w:szCs w:val="20"/>
              </w:rPr>
              <w:t>Cruscotto</w:t>
            </w:r>
          </w:p>
        </w:tc>
        <w:tc>
          <w:tcPr>
            <w:tcW w:w="714" w:type="pct"/>
          </w:tcPr>
          <w:p w:rsidR="002332E9" w:rsidRPr="002332E9" w:rsidRDefault="002332E9" w:rsidP="002332E9">
            <w:pPr>
              <w:spacing w:line="360" w:lineRule="auto"/>
              <w:jc w:val="both"/>
              <w:cnfStyle w:val="000000000000"/>
              <w:rPr>
                <w:rFonts w:ascii="Times New Roman" w:hAnsi="Times New Roman"/>
                <w:sz w:val="20"/>
                <w:szCs w:val="20"/>
              </w:rPr>
            </w:pPr>
            <w:r w:rsidRPr="002332E9">
              <w:rPr>
                <w:rFonts w:ascii="Times New Roman" w:hAnsi="Times New Roman"/>
                <w:sz w:val="20"/>
                <w:szCs w:val="20"/>
              </w:rPr>
              <w:t>OSD</w:t>
            </w:r>
          </w:p>
        </w:tc>
        <w:tc>
          <w:tcPr>
            <w:tcW w:w="714" w:type="pct"/>
          </w:tcPr>
          <w:p w:rsidR="002332E9" w:rsidRPr="002332E9" w:rsidRDefault="002332E9" w:rsidP="002332E9">
            <w:pPr>
              <w:spacing w:line="360" w:lineRule="auto"/>
              <w:jc w:val="both"/>
              <w:cnfStyle w:val="000000000000"/>
              <w:rPr>
                <w:rFonts w:ascii="Times New Roman" w:hAnsi="Times New Roman"/>
                <w:sz w:val="20"/>
                <w:szCs w:val="20"/>
              </w:rPr>
            </w:pPr>
            <w:r w:rsidRPr="002332E9">
              <w:rPr>
                <w:rFonts w:ascii="Times New Roman" w:hAnsi="Times New Roman"/>
                <w:sz w:val="20"/>
                <w:szCs w:val="20"/>
              </w:rPr>
              <w:t>Cruscotto</w:t>
            </w:r>
          </w:p>
        </w:tc>
      </w:tr>
      <w:tr w:rsidR="002332E9" w:rsidRPr="002332E9" w:rsidTr="002332E9">
        <w:tc>
          <w:tcPr>
            <w:cnfStyle w:val="001000000000"/>
            <w:tcW w:w="715" w:type="pct"/>
          </w:tcPr>
          <w:p w:rsidR="002332E9" w:rsidRPr="002332E9" w:rsidRDefault="002332E9" w:rsidP="002332E9">
            <w:pPr>
              <w:spacing w:line="360" w:lineRule="auto"/>
              <w:jc w:val="both"/>
              <w:rPr>
                <w:rFonts w:ascii="Times New Roman" w:hAnsi="Times New Roman"/>
                <w:sz w:val="20"/>
                <w:szCs w:val="20"/>
              </w:rPr>
            </w:pPr>
            <w:r w:rsidRPr="002332E9">
              <w:rPr>
                <w:rFonts w:ascii="Times New Roman" w:hAnsi="Times New Roman"/>
                <w:sz w:val="20"/>
                <w:szCs w:val="20"/>
              </w:rPr>
              <w:t>Immatricolati</w:t>
            </w:r>
          </w:p>
        </w:tc>
        <w:tc>
          <w:tcPr>
            <w:tcW w:w="714" w:type="pct"/>
          </w:tcPr>
          <w:p w:rsidR="002332E9" w:rsidRPr="002332E9" w:rsidRDefault="00103331" w:rsidP="002332E9">
            <w:pPr>
              <w:spacing w:line="360" w:lineRule="auto"/>
              <w:jc w:val="both"/>
              <w:cnfStyle w:val="000000000000"/>
              <w:rPr>
                <w:rFonts w:ascii="Times New Roman" w:hAnsi="Times New Roman"/>
                <w:sz w:val="20"/>
                <w:szCs w:val="20"/>
              </w:rPr>
            </w:pPr>
            <w:r>
              <w:rPr>
                <w:rFonts w:ascii="Times New Roman" w:hAnsi="Times New Roman"/>
                <w:sz w:val="20"/>
                <w:szCs w:val="20"/>
              </w:rPr>
              <w:t>2208</w:t>
            </w:r>
          </w:p>
        </w:tc>
        <w:tc>
          <w:tcPr>
            <w:tcW w:w="715" w:type="pct"/>
          </w:tcPr>
          <w:p w:rsidR="002332E9" w:rsidRPr="002332E9" w:rsidRDefault="002332E9" w:rsidP="002332E9">
            <w:pPr>
              <w:spacing w:line="360" w:lineRule="auto"/>
              <w:jc w:val="both"/>
              <w:cnfStyle w:val="000000000000"/>
              <w:rPr>
                <w:rFonts w:ascii="Times New Roman" w:hAnsi="Times New Roman"/>
                <w:sz w:val="20"/>
                <w:szCs w:val="20"/>
              </w:rPr>
            </w:pPr>
            <w:r w:rsidRPr="002332E9">
              <w:rPr>
                <w:rFonts w:ascii="Times New Roman" w:hAnsi="Times New Roman"/>
                <w:sz w:val="20"/>
                <w:szCs w:val="20"/>
              </w:rPr>
              <w:t>2.201</w:t>
            </w:r>
          </w:p>
        </w:tc>
        <w:tc>
          <w:tcPr>
            <w:tcW w:w="714" w:type="pct"/>
          </w:tcPr>
          <w:p w:rsidR="002332E9" w:rsidRPr="002332E9" w:rsidRDefault="00103331" w:rsidP="002332E9">
            <w:pPr>
              <w:spacing w:line="360" w:lineRule="auto"/>
              <w:jc w:val="both"/>
              <w:cnfStyle w:val="000000000000"/>
              <w:rPr>
                <w:rFonts w:ascii="Times New Roman" w:hAnsi="Times New Roman"/>
                <w:sz w:val="20"/>
                <w:szCs w:val="20"/>
              </w:rPr>
            </w:pPr>
            <w:r>
              <w:rPr>
                <w:rFonts w:ascii="Times New Roman" w:hAnsi="Times New Roman"/>
                <w:sz w:val="20"/>
                <w:szCs w:val="20"/>
              </w:rPr>
              <w:t>2266</w:t>
            </w:r>
          </w:p>
        </w:tc>
        <w:tc>
          <w:tcPr>
            <w:tcW w:w="714" w:type="pct"/>
          </w:tcPr>
          <w:p w:rsidR="002332E9" w:rsidRPr="002332E9" w:rsidRDefault="002332E9" w:rsidP="002332E9">
            <w:pPr>
              <w:spacing w:line="360" w:lineRule="auto"/>
              <w:jc w:val="both"/>
              <w:cnfStyle w:val="000000000000"/>
              <w:rPr>
                <w:rFonts w:ascii="Times New Roman" w:hAnsi="Times New Roman"/>
                <w:sz w:val="20"/>
                <w:szCs w:val="20"/>
              </w:rPr>
            </w:pPr>
            <w:r w:rsidRPr="002332E9">
              <w:rPr>
                <w:rFonts w:ascii="Times New Roman" w:hAnsi="Times New Roman"/>
                <w:sz w:val="20"/>
                <w:szCs w:val="20"/>
              </w:rPr>
              <w:t>2.233</w:t>
            </w:r>
          </w:p>
        </w:tc>
        <w:tc>
          <w:tcPr>
            <w:tcW w:w="714" w:type="pct"/>
          </w:tcPr>
          <w:p w:rsidR="002332E9" w:rsidRPr="002332E9" w:rsidRDefault="00103331" w:rsidP="002332E9">
            <w:pPr>
              <w:spacing w:line="360" w:lineRule="auto"/>
              <w:jc w:val="both"/>
              <w:cnfStyle w:val="000000000000"/>
              <w:rPr>
                <w:rFonts w:ascii="Times New Roman" w:hAnsi="Times New Roman"/>
                <w:sz w:val="20"/>
                <w:szCs w:val="20"/>
              </w:rPr>
            </w:pPr>
            <w:r>
              <w:rPr>
                <w:rFonts w:ascii="Times New Roman" w:hAnsi="Times New Roman"/>
                <w:sz w:val="20"/>
                <w:szCs w:val="20"/>
              </w:rPr>
              <w:t>2572</w:t>
            </w:r>
          </w:p>
        </w:tc>
        <w:tc>
          <w:tcPr>
            <w:tcW w:w="714" w:type="pct"/>
          </w:tcPr>
          <w:p w:rsidR="002332E9" w:rsidRPr="002332E9" w:rsidRDefault="002332E9" w:rsidP="002332E9">
            <w:pPr>
              <w:spacing w:line="360" w:lineRule="auto"/>
              <w:jc w:val="both"/>
              <w:cnfStyle w:val="000000000000"/>
              <w:rPr>
                <w:rFonts w:ascii="Times New Roman" w:hAnsi="Times New Roman"/>
                <w:sz w:val="20"/>
                <w:szCs w:val="20"/>
              </w:rPr>
            </w:pPr>
            <w:r w:rsidRPr="002332E9">
              <w:rPr>
                <w:rFonts w:ascii="Times New Roman" w:hAnsi="Times New Roman"/>
                <w:sz w:val="20"/>
                <w:szCs w:val="20"/>
              </w:rPr>
              <w:t>2.567</w:t>
            </w:r>
          </w:p>
        </w:tc>
      </w:tr>
      <w:tr w:rsidR="002332E9" w:rsidRPr="002332E9" w:rsidTr="002332E9">
        <w:tc>
          <w:tcPr>
            <w:cnfStyle w:val="001000000000"/>
            <w:tcW w:w="715" w:type="pct"/>
          </w:tcPr>
          <w:p w:rsidR="002332E9" w:rsidRPr="002332E9" w:rsidRDefault="002332E9" w:rsidP="002332E9">
            <w:pPr>
              <w:spacing w:line="360" w:lineRule="auto"/>
              <w:jc w:val="both"/>
              <w:rPr>
                <w:rFonts w:ascii="Times New Roman" w:hAnsi="Times New Roman"/>
                <w:sz w:val="20"/>
                <w:szCs w:val="20"/>
              </w:rPr>
            </w:pPr>
            <w:r w:rsidRPr="002332E9">
              <w:rPr>
                <w:rFonts w:ascii="Times New Roman" w:hAnsi="Times New Roman"/>
                <w:sz w:val="20"/>
                <w:szCs w:val="20"/>
              </w:rPr>
              <w:t>Iscritti</w:t>
            </w:r>
          </w:p>
        </w:tc>
        <w:tc>
          <w:tcPr>
            <w:tcW w:w="714" w:type="pct"/>
          </w:tcPr>
          <w:p w:rsidR="002332E9" w:rsidRPr="002332E9" w:rsidRDefault="00103331" w:rsidP="002332E9">
            <w:pPr>
              <w:spacing w:line="360" w:lineRule="auto"/>
              <w:jc w:val="both"/>
              <w:cnfStyle w:val="000000000000"/>
              <w:rPr>
                <w:rFonts w:ascii="Times New Roman" w:hAnsi="Times New Roman"/>
                <w:sz w:val="20"/>
                <w:szCs w:val="20"/>
              </w:rPr>
            </w:pPr>
            <w:r>
              <w:rPr>
                <w:rFonts w:ascii="Times New Roman" w:hAnsi="Times New Roman"/>
                <w:sz w:val="20"/>
                <w:szCs w:val="20"/>
              </w:rPr>
              <w:t>10.769</w:t>
            </w:r>
          </w:p>
        </w:tc>
        <w:tc>
          <w:tcPr>
            <w:tcW w:w="715" w:type="pct"/>
          </w:tcPr>
          <w:p w:rsidR="002332E9" w:rsidRPr="002332E9" w:rsidRDefault="002332E9" w:rsidP="002332E9">
            <w:pPr>
              <w:spacing w:line="360" w:lineRule="auto"/>
              <w:jc w:val="both"/>
              <w:cnfStyle w:val="000000000000"/>
              <w:rPr>
                <w:rFonts w:ascii="Times New Roman" w:hAnsi="Times New Roman"/>
                <w:sz w:val="20"/>
                <w:szCs w:val="20"/>
              </w:rPr>
            </w:pPr>
            <w:r w:rsidRPr="002332E9">
              <w:rPr>
                <w:rFonts w:ascii="Times New Roman" w:hAnsi="Times New Roman"/>
                <w:sz w:val="20"/>
                <w:szCs w:val="20"/>
              </w:rPr>
              <w:t>11.520</w:t>
            </w:r>
          </w:p>
        </w:tc>
        <w:tc>
          <w:tcPr>
            <w:tcW w:w="714" w:type="pct"/>
          </w:tcPr>
          <w:p w:rsidR="002332E9" w:rsidRPr="002332E9" w:rsidRDefault="00103331" w:rsidP="002332E9">
            <w:pPr>
              <w:spacing w:line="360" w:lineRule="auto"/>
              <w:jc w:val="both"/>
              <w:cnfStyle w:val="000000000000"/>
              <w:rPr>
                <w:rFonts w:ascii="Times New Roman" w:hAnsi="Times New Roman"/>
                <w:sz w:val="20"/>
                <w:szCs w:val="20"/>
              </w:rPr>
            </w:pPr>
            <w:r>
              <w:rPr>
                <w:rFonts w:ascii="Times New Roman" w:hAnsi="Times New Roman"/>
                <w:sz w:val="20"/>
                <w:szCs w:val="20"/>
              </w:rPr>
              <w:t>11.234</w:t>
            </w:r>
          </w:p>
        </w:tc>
        <w:tc>
          <w:tcPr>
            <w:tcW w:w="714" w:type="pct"/>
          </w:tcPr>
          <w:p w:rsidR="002332E9" w:rsidRPr="002332E9" w:rsidRDefault="002332E9" w:rsidP="002332E9">
            <w:pPr>
              <w:spacing w:line="360" w:lineRule="auto"/>
              <w:jc w:val="both"/>
              <w:cnfStyle w:val="000000000000"/>
              <w:rPr>
                <w:rFonts w:ascii="Times New Roman" w:hAnsi="Times New Roman"/>
                <w:sz w:val="20"/>
                <w:szCs w:val="20"/>
              </w:rPr>
            </w:pPr>
            <w:r w:rsidRPr="002332E9">
              <w:rPr>
                <w:rFonts w:ascii="Times New Roman" w:hAnsi="Times New Roman"/>
                <w:sz w:val="20"/>
                <w:szCs w:val="20"/>
              </w:rPr>
              <w:t>12.126</w:t>
            </w:r>
          </w:p>
        </w:tc>
        <w:tc>
          <w:tcPr>
            <w:tcW w:w="714" w:type="pct"/>
          </w:tcPr>
          <w:p w:rsidR="002332E9" w:rsidRPr="002332E9" w:rsidRDefault="00103331" w:rsidP="002332E9">
            <w:pPr>
              <w:spacing w:line="360" w:lineRule="auto"/>
              <w:jc w:val="both"/>
              <w:cnfStyle w:val="000000000000"/>
              <w:rPr>
                <w:rFonts w:ascii="Times New Roman" w:hAnsi="Times New Roman"/>
                <w:sz w:val="20"/>
                <w:szCs w:val="20"/>
              </w:rPr>
            </w:pPr>
            <w:r>
              <w:rPr>
                <w:rFonts w:ascii="Times New Roman" w:hAnsi="Times New Roman"/>
                <w:sz w:val="20"/>
                <w:szCs w:val="20"/>
              </w:rPr>
              <w:t>11.764</w:t>
            </w:r>
          </w:p>
        </w:tc>
        <w:tc>
          <w:tcPr>
            <w:tcW w:w="714" w:type="pct"/>
          </w:tcPr>
          <w:p w:rsidR="002332E9" w:rsidRPr="002332E9" w:rsidRDefault="002332E9" w:rsidP="002332E9">
            <w:pPr>
              <w:spacing w:line="360" w:lineRule="auto"/>
              <w:jc w:val="both"/>
              <w:cnfStyle w:val="000000000000"/>
              <w:rPr>
                <w:rFonts w:ascii="Times New Roman" w:hAnsi="Times New Roman"/>
                <w:sz w:val="20"/>
                <w:szCs w:val="20"/>
              </w:rPr>
            </w:pPr>
            <w:r w:rsidRPr="002332E9">
              <w:rPr>
                <w:rFonts w:ascii="Times New Roman" w:hAnsi="Times New Roman"/>
                <w:sz w:val="20"/>
                <w:szCs w:val="20"/>
              </w:rPr>
              <w:t>12.835</w:t>
            </w:r>
          </w:p>
        </w:tc>
      </w:tr>
      <w:tr w:rsidR="002332E9" w:rsidRPr="002332E9" w:rsidTr="002332E9">
        <w:tc>
          <w:tcPr>
            <w:cnfStyle w:val="001000000000"/>
            <w:tcW w:w="715" w:type="pct"/>
          </w:tcPr>
          <w:p w:rsidR="002332E9" w:rsidRPr="002332E9" w:rsidRDefault="002332E9" w:rsidP="002332E9">
            <w:pPr>
              <w:spacing w:line="360" w:lineRule="auto"/>
              <w:jc w:val="both"/>
              <w:rPr>
                <w:rFonts w:ascii="Times New Roman" w:hAnsi="Times New Roman"/>
                <w:sz w:val="20"/>
                <w:szCs w:val="20"/>
              </w:rPr>
            </w:pPr>
            <w:r w:rsidRPr="002332E9">
              <w:rPr>
                <w:rFonts w:ascii="Times New Roman" w:hAnsi="Times New Roman"/>
                <w:sz w:val="20"/>
                <w:szCs w:val="20"/>
              </w:rPr>
              <w:t>Iscritti in corso</w:t>
            </w:r>
          </w:p>
        </w:tc>
        <w:tc>
          <w:tcPr>
            <w:tcW w:w="714" w:type="pct"/>
          </w:tcPr>
          <w:p w:rsidR="002332E9" w:rsidRPr="002332E9" w:rsidRDefault="00103331" w:rsidP="002332E9">
            <w:pPr>
              <w:spacing w:line="360" w:lineRule="auto"/>
              <w:jc w:val="both"/>
              <w:cnfStyle w:val="000000000000"/>
              <w:rPr>
                <w:rFonts w:ascii="Times New Roman" w:hAnsi="Times New Roman"/>
                <w:sz w:val="20"/>
                <w:szCs w:val="20"/>
              </w:rPr>
            </w:pPr>
            <w:r>
              <w:rPr>
                <w:rFonts w:ascii="Times New Roman" w:hAnsi="Times New Roman"/>
                <w:sz w:val="20"/>
                <w:szCs w:val="20"/>
              </w:rPr>
              <w:t>5.626</w:t>
            </w:r>
          </w:p>
        </w:tc>
        <w:tc>
          <w:tcPr>
            <w:tcW w:w="715" w:type="pct"/>
          </w:tcPr>
          <w:p w:rsidR="002332E9" w:rsidRPr="002332E9" w:rsidRDefault="002332E9" w:rsidP="002332E9">
            <w:pPr>
              <w:spacing w:line="360" w:lineRule="auto"/>
              <w:jc w:val="both"/>
              <w:cnfStyle w:val="000000000000"/>
              <w:rPr>
                <w:rFonts w:ascii="Times New Roman" w:hAnsi="Times New Roman"/>
                <w:sz w:val="20"/>
                <w:szCs w:val="20"/>
              </w:rPr>
            </w:pPr>
            <w:r w:rsidRPr="002332E9">
              <w:rPr>
                <w:rFonts w:ascii="Times New Roman" w:hAnsi="Times New Roman"/>
                <w:sz w:val="20"/>
                <w:szCs w:val="20"/>
              </w:rPr>
              <w:t>5.564</w:t>
            </w:r>
          </w:p>
        </w:tc>
        <w:tc>
          <w:tcPr>
            <w:tcW w:w="714" w:type="pct"/>
          </w:tcPr>
          <w:p w:rsidR="002332E9" w:rsidRPr="002332E9" w:rsidRDefault="00103331" w:rsidP="002332E9">
            <w:pPr>
              <w:spacing w:line="360" w:lineRule="auto"/>
              <w:jc w:val="both"/>
              <w:cnfStyle w:val="000000000000"/>
              <w:rPr>
                <w:rFonts w:ascii="Times New Roman" w:hAnsi="Times New Roman"/>
                <w:sz w:val="20"/>
                <w:szCs w:val="20"/>
              </w:rPr>
            </w:pPr>
            <w:r>
              <w:rPr>
                <w:rFonts w:ascii="Times New Roman" w:hAnsi="Times New Roman"/>
                <w:sz w:val="20"/>
                <w:szCs w:val="20"/>
              </w:rPr>
              <w:t>5.983</w:t>
            </w:r>
          </w:p>
        </w:tc>
        <w:tc>
          <w:tcPr>
            <w:tcW w:w="714" w:type="pct"/>
          </w:tcPr>
          <w:p w:rsidR="002332E9" w:rsidRPr="002332E9" w:rsidRDefault="002332E9" w:rsidP="002332E9">
            <w:pPr>
              <w:spacing w:line="360" w:lineRule="auto"/>
              <w:jc w:val="both"/>
              <w:cnfStyle w:val="000000000000"/>
              <w:rPr>
                <w:rFonts w:ascii="Times New Roman" w:hAnsi="Times New Roman"/>
                <w:sz w:val="20"/>
                <w:szCs w:val="20"/>
              </w:rPr>
            </w:pPr>
            <w:r w:rsidRPr="002332E9">
              <w:rPr>
                <w:rFonts w:ascii="Times New Roman" w:hAnsi="Times New Roman"/>
                <w:sz w:val="20"/>
                <w:szCs w:val="20"/>
              </w:rPr>
              <w:t>5.929</w:t>
            </w:r>
          </w:p>
        </w:tc>
        <w:tc>
          <w:tcPr>
            <w:tcW w:w="714" w:type="pct"/>
          </w:tcPr>
          <w:p w:rsidR="002332E9" w:rsidRPr="002332E9" w:rsidRDefault="00103331" w:rsidP="002332E9">
            <w:pPr>
              <w:spacing w:line="360" w:lineRule="auto"/>
              <w:jc w:val="both"/>
              <w:cnfStyle w:val="000000000000"/>
              <w:rPr>
                <w:rFonts w:ascii="Times New Roman" w:hAnsi="Times New Roman"/>
                <w:sz w:val="20"/>
                <w:szCs w:val="20"/>
              </w:rPr>
            </w:pPr>
            <w:r>
              <w:rPr>
                <w:rFonts w:ascii="Times New Roman" w:hAnsi="Times New Roman"/>
                <w:sz w:val="20"/>
                <w:szCs w:val="20"/>
              </w:rPr>
              <w:t>6.712</w:t>
            </w:r>
          </w:p>
        </w:tc>
        <w:tc>
          <w:tcPr>
            <w:tcW w:w="714" w:type="pct"/>
          </w:tcPr>
          <w:p w:rsidR="002332E9" w:rsidRPr="002332E9" w:rsidRDefault="002332E9" w:rsidP="002332E9">
            <w:pPr>
              <w:spacing w:line="360" w:lineRule="auto"/>
              <w:jc w:val="both"/>
              <w:cnfStyle w:val="000000000000"/>
              <w:rPr>
                <w:rFonts w:ascii="Times New Roman" w:hAnsi="Times New Roman"/>
                <w:sz w:val="20"/>
                <w:szCs w:val="20"/>
              </w:rPr>
            </w:pPr>
            <w:r w:rsidRPr="002332E9">
              <w:rPr>
                <w:rFonts w:ascii="Times New Roman" w:hAnsi="Times New Roman"/>
                <w:sz w:val="20"/>
                <w:szCs w:val="20"/>
              </w:rPr>
              <w:t>6.730</w:t>
            </w:r>
          </w:p>
        </w:tc>
      </w:tr>
    </w:tbl>
    <w:p w:rsidR="002332E9" w:rsidRPr="002332E9" w:rsidRDefault="002332E9" w:rsidP="002332E9">
      <w:pPr>
        <w:spacing w:line="360" w:lineRule="auto"/>
        <w:jc w:val="both"/>
        <w:rPr>
          <w:rFonts w:ascii="Times New Roman" w:hAnsi="Times New Roman"/>
          <w:sz w:val="24"/>
          <w:szCs w:val="24"/>
        </w:rPr>
      </w:pPr>
    </w:p>
    <w:p w:rsidR="002332E9" w:rsidRPr="002332E9" w:rsidRDefault="002E4DFD" w:rsidP="002332E9">
      <w:pPr>
        <w:spacing w:line="360" w:lineRule="auto"/>
        <w:jc w:val="both"/>
        <w:rPr>
          <w:rFonts w:ascii="Times New Roman" w:hAnsi="Times New Roman"/>
          <w:sz w:val="24"/>
          <w:szCs w:val="24"/>
        </w:rPr>
      </w:pPr>
      <w:r>
        <w:rPr>
          <w:rFonts w:ascii="Times New Roman" w:hAnsi="Times New Roman"/>
          <w:sz w:val="24"/>
          <w:szCs w:val="24"/>
        </w:rPr>
        <w:t xml:space="preserve">In prima istanza </w:t>
      </w:r>
      <w:proofErr w:type="spellStart"/>
      <w:r>
        <w:rPr>
          <w:rFonts w:ascii="Times New Roman" w:hAnsi="Times New Roman"/>
          <w:sz w:val="24"/>
          <w:szCs w:val="24"/>
        </w:rPr>
        <w:t>apparrebbe</w:t>
      </w:r>
      <w:proofErr w:type="spellEnd"/>
      <w:r>
        <w:rPr>
          <w:rFonts w:ascii="Times New Roman" w:hAnsi="Times New Roman"/>
          <w:sz w:val="24"/>
          <w:szCs w:val="24"/>
        </w:rPr>
        <w:t xml:space="preserve"> che l</w:t>
      </w:r>
      <w:r w:rsidR="002332E9" w:rsidRPr="002332E9">
        <w:rPr>
          <w:rFonts w:ascii="Times New Roman" w:hAnsi="Times New Roman"/>
          <w:sz w:val="24"/>
          <w:szCs w:val="24"/>
        </w:rPr>
        <w:t xml:space="preserve">’assenza di indicazioni da parte dell’ANVUR concernenti la metodologia dell’estrazione (data di estrazione, esclusione di alcuni </w:t>
      </w:r>
      <w:proofErr w:type="spellStart"/>
      <w:r w:rsidR="002332E9" w:rsidRPr="002332E9">
        <w:rPr>
          <w:rFonts w:ascii="Times New Roman" w:hAnsi="Times New Roman"/>
          <w:sz w:val="24"/>
          <w:szCs w:val="24"/>
        </w:rPr>
        <w:t>cds</w:t>
      </w:r>
      <w:proofErr w:type="spellEnd"/>
      <w:r w:rsidR="002332E9" w:rsidRPr="002332E9">
        <w:rPr>
          <w:rFonts w:ascii="Times New Roman" w:hAnsi="Times New Roman"/>
          <w:sz w:val="24"/>
          <w:szCs w:val="24"/>
        </w:rPr>
        <w:t>, ecc.) non consente di effettuare ulteriori analisi che giustifichino le discrepanze rilevate.</w:t>
      </w:r>
      <w:r>
        <w:rPr>
          <w:rFonts w:ascii="Times New Roman" w:hAnsi="Times New Roman"/>
          <w:sz w:val="24"/>
          <w:szCs w:val="24"/>
        </w:rPr>
        <w:t xml:space="preserve"> Si chiede all’ateneo di verificare tali discrepanze.</w:t>
      </w:r>
    </w:p>
    <w:p w:rsidR="002332E9" w:rsidRPr="002332E9" w:rsidRDefault="002332E9" w:rsidP="002332E9">
      <w:pPr>
        <w:spacing w:line="360" w:lineRule="auto"/>
        <w:jc w:val="both"/>
        <w:rPr>
          <w:rFonts w:ascii="Times New Roman" w:hAnsi="Times New Roman"/>
          <w:sz w:val="24"/>
          <w:szCs w:val="24"/>
        </w:rPr>
      </w:pPr>
      <w:r w:rsidRPr="002332E9">
        <w:rPr>
          <w:rFonts w:ascii="Times New Roman" w:hAnsi="Times New Roman"/>
          <w:sz w:val="24"/>
          <w:szCs w:val="24"/>
        </w:rPr>
        <w:t>Gli indicatori relativi al percorso di studio, all’</w:t>
      </w:r>
      <w:proofErr w:type="spellStart"/>
      <w:r w:rsidRPr="002332E9">
        <w:rPr>
          <w:rFonts w:ascii="Times New Roman" w:hAnsi="Times New Roman"/>
          <w:sz w:val="24"/>
          <w:szCs w:val="24"/>
        </w:rPr>
        <w:t>attrattività</w:t>
      </w:r>
      <w:proofErr w:type="spellEnd"/>
      <w:r w:rsidRPr="002332E9">
        <w:rPr>
          <w:rFonts w:ascii="Times New Roman" w:hAnsi="Times New Roman"/>
          <w:sz w:val="24"/>
          <w:szCs w:val="24"/>
        </w:rPr>
        <w:t xml:space="preserve"> e all’internazionalizzazione, sono riepilogati nelle successive sezioni della Scheda di Ateneo:</w:t>
      </w:r>
    </w:p>
    <w:p w:rsidR="002332E9" w:rsidRPr="002332E9" w:rsidRDefault="002332E9" w:rsidP="002332E9">
      <w:pPr>
        <w:spacing w:line="360" w:lineRule="auto"/>
        <w:jc w:val="both"/>
        <w:rPr>
          <w:rFonts w:ascii="Times New Roman" w:hAnsi="Times New Roman"/>
          <w:sz w:val="24"/>
          <w:szCs w:val="24"/>
        </w:rPr>
      </w:pPr>
      <w:r w:rsidRPr="002332E9">
        <w:rPr>
          <w:rFonts w:ascii="Times New Roman" w:hAnsi="Times New Roman"/>
          <w:b/>
          <w:i/>
          <w:sz w:val="24"/>
          <w:szCs w:val="24"/>
        </w:rPr>
        <w:t>Sezione I – Passaggio al II anno</w:t>
      </w:r>
      <w:r w:rsidRPr="002332E9">
        <w:rPr>
          <w:rFonts w:ascii="Times New Roman" w:hAnsi="Times New Roman"/>
          <w:sz w:val="24"/>
          <w:szCs w:val="24"/>
        </w:rPr>
        <w:t>. Gli indicatori della sezione fanno riferimento alla coorte degli immatricolati dell’</w:t>
      </w:r>
      <w:proofErr w:type="spellStart"/>
      <w:r w:rsidRPr="002332E9">
        <w:rPr>
          <w:rFonts w:ascii="Times New Roman" w:hAnsi="Times New Roman"/>
          <w:sz w:val="24"/>
          <w:szCs w:val="24"/>
        </w:rPr>
        <w:t>a.a.</w:t>
      </w:r>
      <w:proofErr w:type="spellEnd"/>
      <w:r w:rsidRPr="002332E9">
        <w:rPr>
          <w:rFonts w:ascii="Times New Roman" w:hAnsi="Times New Roman"/>
          <w:sz w:val="24"/>
          <w:szCs w:val="24"/>
        </w:rPr>
        <w:t xml:space="preserve"> 2011/2012 e al passaggio tra il primo e il secondo anno di Corso, misurando le percentuali di prosecuzione all’interno dello stesso </w:t>
      </w:r>
      <w:proofErr w:type="spellStart"/>
      <w:r w:rsidRPr="002332E9">
        <w:rPr>
          <w:rFonts w:ascii="Times New Roman" w:hAnsi="Times New Roman"/>
          <w:sz w:val="24"/>
          <w:szCs w:val="24"/>
        </w:rPr>
        <w:t>Cds</w:t>
      </w:r>
      <w:proofErr w:type="spellEnd"/>
      <w:r w:rsidRPr="002332E9">
        <w:rPr>
          <w:rFonts w:ascii="Times New Roman" w:hAnsi="Times New Roman"/>
          <w:sz w:val="24"/>
          <w:szCs w:val="24"/>
        </w:rPr>
        <w:t xml:space="preserve"> e nel sistema universitario, nonché di coloro che proseguono stabilmente al II anno avendo conseguito almeno 40 CFU. L’analisi restituisce indicatori mediamente accettabili, poco al di sotto delle medie nazionali, per quel che </w:t>
      </w:r>
      <w:r w:rsidRPr="002332E9">
        <w:rPr>
          <w:rFonts w:ascii="Times New Roman" w:hAnsi="Times New Roman"/>
          <w:sz w:val="24"/>
          <w:szCs w:val="24"/>
        </w:rPr>
        <w:lastRenderedPageBreak/>
        <w:t>concerne la prosecuzione degli studi; decisamente al di sotto della media nazionale è, invece, la produttività degli studenti nel primo anno di corso. Ed invero, relativamente al terzo indicatore il Politecnico è 76° su 78 Atenei considerati.</w:t>
      </w:r>
    </w:p>
    <w:p w:rsidR="002332E9" w:rsidRDefault="002332E9" w:rsidP="002332E9">
      <w:pPr>
        <w:spacing w:line="360" w:lineRule="auto"/>
        <w:jc w:val="both"/>
        <w:rPr>
          <w:rFonts w:ascii="Times New Roman" w:hAnsi="Times New Roman"/>
          <w:sz w:val="24"/>
          <w:szCs w:val="24"/>
        </w:rPr>
      </w:pPr>
      <w:r w:rsidRPr="002332E9">
        <w:rPr>
          <w:rFonts w:ascii="Times New Roman" w:hAnsi="Times New Roman"/>
          <w:noProof/>
          <w:sz w:val="24"/>
          <w:szCs w:val="24"/>
        </w:rPr>
        <w:drawing>
          <wp:inline distT="0" distB="0" distL="0" distR="0">
            <wp:extent cx="6120130" cy="1307145"/>
            <wp:effectExtent l="0" t="0" r="0"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1307145"/>
                    </a:xfrm>
                    <a:prstGeom prst="rect">
                      <a:avLst/>
                    </a:prstGeom>
                    <a:noFill/>
                    <a:ln>
                      <a:noFill/>
                    </a:ln>
                  </pic:spPr>
                </pic:pic>
              </a:graphicData>
            </a:graphic>
          </wp:inline>
        </w:drawing>
      </w:r>
    </w:p>
    <w:p w:rsidR="002332E9" w:rsidRPr="002332E9" w:rsidRDefault="002332E9" w:rsidP="002332E9">
      <w:pPr>
        <w:spacing w:line="360" w:lineRule="auto"/>
        <w:jc w:val="both"/>
        <w:rPr>
          <w:rFonts w:ascii="Times New Roman" w:hAnsi="Times New Roman"/>
          <w:sz w:val="24"/>
          <w:szCs w:val="24"/>
        </w:rPr>
      </w:pPr>
      <w:r w:rsidRPr="002332E9">
        <w:rPr>
          <w:rFonts w:ascii="Times New Roman" w:hAnsi="Times New Roman"/>
          <w:b/>
          <w:i/>
          <w:sz w:val="24"/>
          <w:szCs w:val="24"/>
        </w:rPr>
        <w:t>Sezione II – Esito dopo N anni dall’immatricolazione.</w:t>
      </w:r>
      <w:r w:rsidRPr="002332E9">
        <w:rPr>
          <w:rFonts w:ascii="Times New Roman" w:hAnsi="Times New Roman"/>
          <w:sz w:val="24"/>
          <w:szCs w:val="24"/>
        </w:rPr>
        <w:t xml:space="preserve">  Sono state prese come riferimento le coorti di immatricolati che nell’</w:t>
      </w:r>
      <w:proofErr w:type="spellStart"/>
      <w:r w:rsidRPr="002332E9">
        <w:rPr>
          <w:rFonts w:ascii="Times New Roman" w:hAnsi="Times New Roman"/>
          <w:sz w:val="24"/>
          <w:szCs w:val="24"/>
        </w:rPr>
        <w:t>a.a.</w:t>
      </w:r>
      <w:proofErr w:type="spellEnd"/>
      <w:r w:rsidRPr="002332E9">
        <w:rPr>
          <w:rFonts w:ascii="Times New Roman" w:hAnsi="Times New Roman"/>
          <w:sz w:val="24"/>
          <w:szCs w:val="24"/>
        </w:rPr>
        <w:t xml:space="preserve"> 2012/2013 risultano da due anni oltre la durata legale del corso; così, per i corsi di laurea magistrale (2 anni) è stata presa in considerazione la coorte 2009; per i corsi di laurea triennale (3 anni) è stata presa in considerazione la coorte 2008, per i corsi di laurea magistrale a ciclo unico di 4 anni è stata presa in considerazione la coorte 2007. Di queste coorti, è stato, quindi, analizzato il percorso di studio con riferimento agli esiti in termini di laureati, abbandoni e ancora iscritti. </w:t>
      </w:r>
    </w:p>
    <w:p w:rsidR="002332E9" w:rsidRPr="002332E9" w:rsidRDefault="002332E9" w:rsidP="002332E9">
      <w:pPr>
        <w:spacing w:line="360" w:lineRule="auto"/>
        <w:jc w:val="both"/>
        <w:rPr>
          <w:rFonts w:ascii="Times New Roman" w:hAnsi="Times New Roman"/>
          <w:sz w:val="24"/>
          <w:szCs w:val="24"/>
        </w:rPr>
      </w:pPr>
      <w:r w:rsidRPr="002332E9">
        <w:rPr>
          <w:rFonts w:ascii="Times New Roman" w:hAnsi="Times New Roman"/>
          <w:sz w:val="24"/>
          <w:szCs w:val="24"/>
        </w:rPr>
        <w:t xml:space="preserve">L’analisi rileva soddisfacenti risultati per quel che riguarda il voto di laurea e la media del voto degli esami sostenuti dagli studenti che si sono laureati nella durata legale del corso di studio e ad un anno oltre la durata normale del percorso formativo. </w:t>
      </w:r>
      <w:r w:rsidR="00393E58">
        <w:rPr>
          <w:rFonts w:ascii="Times New Roman" w:hAnsi="Times New Roman"/>
          <w:sz w:val="24"/>
          <w:szCs w:val="24"/>
        </w:rPr>
        <w:t>Bassa</w:t>
      </w:r>
      <w:r w:rsidRPr="002332E9">
        <w:rPr>
          <w:rFonts w:ascii="Times New Roman" w:hAnsi="Times New Roman"/>
          <w:sz w:val="24"/>
          <w:szCs w:val="24"/>
        </w:rPr>
        <w:t xml:space="preserve"> è, invece, la percentuale degli studenti laureati regolari e di quelli laureatisi ad un anno oltre la durata del </w:t>
      </w:r>
      <w:proofErr w:type="spellStart"/>
      <w:r w:rsidRPr="002332E9">
        <w:rPr>
          <w:rFonts w:ascii="Times New Roman" w:hAnsi="Times New Roman"/>
          <w:sz w:val="24"/>
          <w:szCs w:val="24"/>
        </w:rPr>
        <w:t>CdS</w:t>
      </w:r>
      <w:proofErr w:type="spellEnd"/>
      <w:r w:rsidRPr="002332E9">
        <w:rPr>
          <w:rFonts w:ascii="Times New Roman" w:hAnsi="Times New Roman"/>
          <w:sz w:val="24"/>
          <w:szCs w:val="24"/>
        </w:rPr>
        <w:t>, relativamente ai quali il nostro ateneo si piazza rispettivamente al 69° e al 64° posto sui 78 atenei considerati</w:t>
      </w:r>
      <w:r w:rsidR="002E4DFD">
        <w:rPr>
          <w:rFonts w:ascii="Times New Roman" w:hAnsi="Times New Roman"/>
          <w:sz w:val="24"/>
          <w:szCs w:val="24"/>
        </w:rPr>
        <w:t xml:space="preserve">, per gli anni passati e che sono di riferimento </w:t>
      </w:r>
      <w:proofErr w:type="spellStart"/>
      <w:r w:rsidR="002E4DFD">
        <w:rPr>
          <w:rFonts w:ascii="Times New Roman" w:hAnsi="Times New Roman"/>
          <w:sz w:val="24"/>
          <w:szCs w:val="24"/>
        </w:rPr>
        <w:t>enll</w:t>
      </w:r>
      <w:proofErr w:type="spellEnd"/>
      <w:r w:rsidR="002E4DFD">
        <w:rPr>
          <w:rFonts w:ascii="Times New Roman" w:hAnsi="Times New Roman"/>
          <w:sz w:val="24"/>
          <w:szCs w:val="24"/>
        </w:rPr>
        <w:t>’analisi ANVUR</w:t>
      </w:r>
      <w:r w:rsidRPr="002332E9">
        <w:rPr>
          <w:rFonts w:ascii="Times New Roman" w:hAnsi="Times New Roman"/>
          <w:sz w:val="24"/>
          <w:szCs w:val="24"/>
        </w:rPr>
        <w:t>.</w:t>
      </w:r>
      <w:r w:rsidR="002E4DFD">
        <w:rPr>
          <w:rFonts w:ascii="Times New Roman" w:hAnsi="Times New Roman"/>
          <w:sz w:val="24"/>
          <w:szCs w:val="24"/>
        </w:rPr>
        <w:t xml:space="preserve"> Va dunque verificato come si ponga l’Ateneo negli ultimi anni.</w:t>
      </w:r>
    </w:p>
    <w:p w:rsidR="002332E9" w:rsidRPr="002332E9" w:rsidRDefault="002332E9" w:rsidP="002332E9">
      <w:pPr>
        <w:spacing w:line="360" w:lineRule="auto"/>
        <w:jc w:val="both"/>
        <w:rPr>
          <w:rFonts w:ascii="Times New Roman" w:hAnsi="Times New Roman"/>
          <w:sz w:val="24"/>
          <w:szCs w:val="24"/>
        </w:rPr>
      </w:pPr>
      <w:r w:rsidRPr="002332E9">
        <w:rPr>
          <w:rFonts w:ascii="Times New Roman" w:hAnsi="Times New Roman"/>
          <w:sz w:val="24"/>
          <w:szCs w:val="24"/>
        </w:rPr>
        <w:t xml:space="preserve">In ultimo, a differenza dei precedenti indicatori, il </w:t>
      </w:r>
      <w:r w:rsidRPr="002332E9">
        <w:rPr>
          <w:rFonts w:ascii="Times New Roman" w:hAnsi="Times New Roman"/>
          <w:i/>
          <w:sz w:val="24"/>
          <w:szCs w:val="24"/>
        </w:rPr>
        <w:t>tempo medio di conseguimento del titolo</w:t>
      </w:r>
      <w:r w:rsidRPr="002332E9">
        <w:rPr>
          <w:rFonts w:ascii="Times New Roman" w:hAnsi="Times New Roman"/>
          <w:sz w:val="24"/>
          <w:szCs w:val="24"/>
        </w:rPr>
        <w:t xml:space="preserve"> non è calcolato attraverso l’analisi della coorte di riferimento, ma sulla totalità degli studenti laureati nell’</w:t>
      </w:r>
      <w:proofErr w:type="spellStart"/>
      <w:r w:rsidRPr="002332E9">
        <w:rPr>
          <w:rFonts w:ascii="Times New Roman" w:hAnsi="Times New Roman"/>
          <w:sz w:val="24"/>
          <w:szCs w:val="24"/>
        </w:rPr>
        <w:t>a.a.</w:t>
      </w:r>
      <w:proofErr w:type="spellEnd"/>
      <w:r w:rsidRPr="002332E9">
        <w:rPr>
          <w:rFonts w:ascii="Times New Roman" w:hAnsi="Times New Roman"/>
          <w:sz w:val="24"/>
          <w:szCs w:val="24"/>
        </w:rPr>
        <w:t xml:space="preserve"> 2012/2013, di cui vengono calcolati gli anni trascorsi dalla prima immatricolazione alla laurea. Relativamente a tale indicatore, il Politecnico di Bari si piazza al 3° </w:t>
      </w:r>
      <w:r w:rsidR="00393E58">
        <w:rPr>
          <w:rFonts w:ascii="Times New Roman" w:hAnsi="Times New Roman"/>
          <w:sz w:val="24"/>
          <w:szCs w:val="24"/>
        </w:rPr>
        <w:t xml:space="preserve">posto </w:t>
      </w:r>
      <w:r w:rsidRPr="002332E9">
        <w:rPr>
          <w:rFonts w:ascii="Times New Roman" w:hAnsi="Times New Roman"/>
          <w:sz w:val="24"/>
          <w:szCs w:val="24"/>
        </w:rPr>
        <w:t xml:space="preserve">nel ranking nazionale, realizzando un eccellente risultato, ben al di sopra della media nazionale. </w:t>
      </w:r>
      <w:r w:rsidR="00393E58">
        <w:rPr>
          <w:rFonts w:ascii="Times New Roman" w:hAnsi="Times New Roman"/>
          <w:sz w:val="24"/>
          <w:szCs w:val="24"/>
        </w:rPr>
        <w:t>Questo risultato genera notevoli perplessità, poiché contraddice le criticità emergenti dagli altri indicatori.</w:t>
      </w:r>
    </w:p>
    <w:p w:rsidR="002332E9" w:rsidRPr="002332E9" w:rsidRDefault="002332E9" w:rsidP="002332E9">
      <w:pPr>
        <w:spacing w:line="360" w:lineRule="auto"/>
        <w:jc w:val="both"/>
        <w:rPr>
          <w:rFonts w:ascii="Times New Roman" w:hAnsi="Times New Roman"/>
          <w:sz w:val="24"/>
          <w:szCs w:val="24"/>
        </w:rPr>
      </w:pPr>
      <w:r w:rsidRPr="002332E9">
        <w:rPr>
          <w:rFonts w:ascii="Times New Roman" w:hAnsi="Times New Roman"/>
          <w:noProof/>
          <w:sz w:val="24"/>
          <w:szCs w:val="24"/>
        </w:rPr>
        <w:lastRenderedPageBreak/>
        <w:drawing>
          <wp:inline distT="0" distB="0" distL="0" distR="0">
            <wp:extent cx="6120130" cy="2727119"/>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2727119"/>
                    </a:xfrm>
                    <a:prstGeom prst="rect">
                      <a:avLst/>
                    </a:prstGeom>
                    <a:noFill/>
                    <a:ln>
                      <a:noFill/>
                    </a:ln>
                  </pic:spPr>
                </pic:pic>
              </a:graphicData>
            </a:graphic>
          </wp:inline>
        </w:drawing>
      </w:r>
    </w:p>
    <w:p w:rsidR="002332E9" w:rsidRPr="002332E9" w:rsidRDefault="002332E9" w:rsidP="002332E9">
      <w:pPr>
        <w:spacing w:line="360" w:lineRule="auto"/>
        <w:jc w:val="both"/>
        <w:rPr>
          <w:rFonts w:ascii="Times New Roman" w:hAnsi="Times New Roman"/>
          <w:sz w:val="24"/>
          <w:szCs w:val="24"/>
        </w:rPr>
      </w:pPr>
      <w:r w:rsidRPr="002332E9">
        <w:rPr>
          <w:rFonts w:ascii="Times New Roman" w:hAnsi="Times New Roman"/>
          <w:sz w:val="24"/>
          <w:szCs w:val="24"/>
        </w:rPr>
        <w:t xml:space="preserve">La </w:t>
      </w:r>
      <w:r w:rsidRPr="002332E9">
        <w:rPr>
          <w:rFonts w:ascii="Times New Roman" w:hAnsi="Times New Roman"/>
          <w:b/>
          <w:i/>
          <w:sz w:val="24"/>
          <w:szCs w:val="24"/>
        </w:rPr>
        <w:t xml:space="preserve">sezione III – </w:t>
      </w:r>
      <w:proofErr w:type="spellStart"/>
      <w:r w:rsidRPr="002332E9">
        <w:rPr>
          <w:rFonts w:ascii="Times New Roman" w:hAnsi="Times New Roman"/>
          <w:b/>
          <w:i/>
          <w:sz w:val="24"/>
          <w:szCs w:val="24"/>
        </w:rPr>
        <w:t>Attrattività</w:t>
      </w:r>
      <w:proofErr w:type="spellEnd"/>
      <w:r w:rsidRPr="002332E9">
        <w:rPr>
          <w:rFonts w:ascii="Times New Roman" w:hAnsi="Times New Roman"/>
          <w:sz w:val="24"/>
          <w:szCs w:val="24"/>
        </w:rPr>
        <w:t xml:space="preserve"> misura la capacità dell’Ateneo di attrarre studenti ai corsi di laurea magistrale che hanno conseguito la laurea in altri Atenei. Il dato è assolutamente negativo e il Politecnico di Bari si posiziona al 71° posto su 78.</w:t>
      </w:r>
    </w:p>
    <w:p w:rsidR="002332E9" w:rsidRPr="002332E9" w:rsidRDefault="002332E9" w:rsidP="002332E9">
      <w:pPr>
        <w:spacing w:line="360" w:lineRule="auto"/>
        <w:jc w:val="both"/>
        <w:rPr>
          <w:rFonts w:ascii="Times New Roman" w:hAnsi="Times New Roman"/>
          <w:sz w:val="24"/>
          <w:szCs w:val="24"/>
        </w:rPr>
      </w:pPr>
      <w:r w:rsidRPr="002332E9">
        <w:rPr>
          <w:rFonts w:ascii="Times New Roman" w:hAnsi="Times New Roman"/>
          <w:noProof/>
          <w:sz w:val="24"/>
          <w:szCs w:val="24"/>
        </w:rPr>
        <w:drawing>
          <wp:inline distT="0" distB="0" distL="0" distR="0">
            <wp:extent cx="6120130" cy="705658"/>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705658"/>
                    </a:xfrm>
                    <a:prstGeom prst="rect">
                      <a:avLst/>
                    </a:prstGeom>
                    <a:noFill/>
                    <a:ln>
                      <a:noFill/>
                    </a:ln>
                  </pic:spPr>
                </pic:pic>
              </a:graphicData>
            </a:graphic>
          </wp:inline>
        </w:drawing>
      </w:r>
    </w:p>
    <w:p w:rsidR="002332E9" w:rsidRPr="002332E9" w:rsidRDefault="002332E9" w:rsidP="002332E9">
      <w:pPr>
        <w:spacing w:line="360" w:lineRule="auto"/>
        <w:jc w:val="both"/>
        <w:rPr>
          <w:rFonts w:ascii="Times New Roman" w:hAnsi="Times New Roman"/>
          <w:sz w:val="24"/>
          <w:szCs w:val="24"/>
        </w:rPr>
      </w:pPr>
      <w:r w:rsidRPr="002332E9">
        <w:rPr>
          <w:rFonts w:ascii="Times New Roman" w:hAnsi="Times New Roman"/>
          <w:sz w:val="24"/>
          <w:szCs w:val="24"/>
        </w:rPr>
        <w:t xml:space="preserve">La </w:t>
      </w:r>
      <w:r w:rsidRPr="002332E9">
        <w:rPr>
          <w:rFonts w:ascii="Times New Roman" w:hAnsi="Times New Roman"/>
          <w:b/>
          <w:i/>
          <w:sz w:val="24"/>
          <w:szCs w:val="24"/>
        </w:rPr>
        <w:t>Sezione IV  - Internazionalizzazione</w:t>
      </w:r>
      <w:r w:rsidRPr="002332E9">
        <w:rPr>
          <w:rFonts w:ascii="Times New Roman" w:hAnsi="Times New Roman"/>
          <w:sz w:val="24"/>
          <w:szCs w:val="24"/>
        </w:rPr>
        <w:t xml:space="preserve"> fa riferimento alla quota degli iscritti nell’</w:t>
      </w:r>
      <w:proofErr w:type="spellStart"/>
      <w:r w:rsidRPr="002332E9">
        <w:rPr>
          <w:rFonts w:ascii="Times New Roman" w:hAnsi="Times New Roman"/>
          <w:sz w:val="24"/>
          <w:szCs w:val="24"/>
        </w:rPr>
        <w:t>a.a.</w:t>
      </w:r>
      <w:proofErr w:type="spellEnd"/>
      <w:r w:rsidRPr="002332E9">
        <w:rPr>
          <w:rFonts w:ascii="Times New Roman" w:hAnsi="Times New Roman"/>
          <w:sz w:val="24"/>
          <w:szCs w:val="24"/>
        </w:rPr>
        <w:t xml:space="preserve"> 2012/2013 con almeno 1 CFU conseguito all’estero nell’</w:t>
      </w:r>
      <w:proofErr w:type="spellStart"/>
      <w:r w:rsidRPr="002332E9">
        <w:rPr>
          <w:rFonts w:ascii="Times New Roman" w:hAnsi="Times New Roman"/>
          <w:sz w:val="24"/>
          <w:szCs w:val="24"/>
        </w:rPr>
        <w:t>a.a.</w:t>
      </w:r>
      <w:proofErr w:type="spellEnd"/>
      <w:r w:rsidRPr="002332E9">
        <w:rPr>
          <w:rFonts w:ascii="Times New Roman" w:hAnsi="Times New Roman"/>
          <w:sz w:val="24"/>
          <w:szCs w:val="24"/>
        </w:rPr>
        <w:t xml:space="preserve"> 2012/2013 e alla quota degli studenti immatricolati nell’</w:t>
      </w:r>
      <w:proofErr w:type="spellStart"/>
      <w:r w:rsidRPr="002332E9">
        <w:rPr>
          <w:rFonts w:ascii="Times New Roman" w:hAnsi="Times New Roman"/>
          <w:sz w:val="24"/>
          <w:szCs w:val="24"/>
        </w:rPr>
        <w:t>a.a.</w:t>
      </w:r>
      <w:proofErr w:type="spellEnd"/>
      <w:r w:rsidRPr="002332E9">
        <w:rPr>
          <w:rFonts w:ascii="Times New Roman" w:hAnsi="Times New Roman"/>
          <w:sz w:val="24"/>
          <w:szCs w:val="24"/>
        </w:rPr>
        <w:t xml:space="preserve"> 2012/2013 in possesso di titolo per l’accesso conseguito all’estero.</w:t>
      </w:r>
    </w:p>
    <w:p w:rsidR="002332E9" w:rsidRPr="002332E9" w:rsidRDefault="002E4DFD" w:rsidP="002332E9">
      <w:pPr>
        <w:spacing w:line="360" w:lineRule="auto"/>
        <w:jc w:val="both"/>
        <w:rPr>
          <w:rFonts w:ascii="Times New Roman" w:hAnsi="Times New Roman"/>
          <w:sz w:val="24"/>
          <w:szCs w:val="24"/>
        </w:rPr>
      </w:pPr>
      <w:r>
        <w:rPr>
          <w:rFonts w:ascii="Times New Roman" w:hAnsi="Times New Roman"/>
          <w:sz w:val="24"/>
          <w:szCs w:val="24"/>
        </w:rPr>
        <w:t>A</w:t>
      </w:r>
      <w:r w:rsidR="002332E9" w:rsidRPr="002332E9">
        <w:rPr>
          <w:rFonts w:ascii="Times New Roman" w:hAnsi="Times New Roman"/>
          <w:sz w:val="24"/>
          <w:szCs w:val="24"/>
        </w:rPr>
        <w:t>nche qui la performance del Politecnico di Bari è deludente con risultati di gran lunga al di sotto della media nazionale di area</w:t>
      </w:r>
      <w:r w:rsidR="00DC7105">
        <w:rPr>
          <w:rFonts w:ascii="Times New Roman" w:hAnsi="Times New Roman"/>
          <w:sz w:val="24"/>
          <w:szCs w:val="24"/>
        </w:rPr>
        <w:t xml:space="preserve">, il che genera perplessità, dato che tutte le borse </w:t>
      </w:r>
      <w:proofErr w:type="spellStart"/>
      <w:r w:rsidR="00DC7105">
        <w:rPr>
          <w:rFonts w:ascii="Times New Roman" w:hAnsi="Times New Roman"/>
          <w:sz w:val="24"/>
          <w:szCs w:val="24"/>
        </w:rPr>
        <w:t>Erasmus</w:t>
      </w:r>
      <w:proofErr w:type="spellEnd"/>
      <w:r w:rsidR="00DC7105">
        <w:rPr>
          <w:rFonts w:ascii="Times New Roman" w:hAnsi="Times New Roman"/>
          <w:sz w:val="24"/>
          <w:szCs w:val="24"/>
        </w:rPr>
        <w:t xml:space="preserve"> del Politecnico sono erogate an</w:t>
      </w:r>
      <w:r>
        <w:rPr>
          <w:rFonts w:ascii="Times New Roman" w:hAnsi="Times New Roman"/>
          <w:sz w:val="24"/>
          <w:szCs w:val="24"/>
        </w:rPr>
        <w:t>n</w:t>
      </w:r>
      <w:r w:rsidR="00DC7105">
        <w:rPr>
          <w:rFonts w:ascii="Times New Roman" w:hAnsi="Times New Roman"/>
          <w:sz w:val="24"/>
          <w:szCs w:val="24"/>
        </w:rPr>
        <w:t>ualmente</w:t>
      </w:r>
      <w:r w:rsidR="002332E9" w:rsidRPr="002332E9">
        <w:rPr>
          <w:rFonts w:ascii="Times New Roman" w:hAnsi="Times New Roman"/>
          <w:sz w:val="24"/>
          <w:szCs w:val="24"/>
        </w:rPr>
        <w:t>.</w:t>
      </w:r>
      <w:r>
        <w:rPr>
          <w:rFonts w:ascii="Times New Roman" w:hAnsi="Times New Roman"/>
          <w:sz w:val="24"/>
          <w:szCs w:val="24"/>
        </w:rPr>
        <w:t xml:space="preserve"> Inoltre, vanno verificati i dati degli ultimi anni.</w:t>
      </w:r>
    </w:p>
    <w:p w:rsidR="002332E9" w:rsidRPr="002332E9" w:rsidRDefault="002332E9" w:rsidP="002332E9">
      <w:pPr>
        <w:spacing w:line="360" w:lineRule="auto"/>
        <w:jc w:val="both"/>
        <w:rPr>
          <w:rFonts w:ascii="Times New Roman" w:hAnsi="Times New Roman"/>
          <w:sz w:val="24"/>
          <w:szCs w:val="24"/>
        </w:rPr>
      </w:pPr>
      <w:r w:rsidRPr="002332E9">
        <w:rPr>
          <w:rFonts w:ascii="Times New Roman" w:hAnsi="Times New Roman"/>
          <w:noProof/>
          <w:sz w:val="24"/>
          <w:szCs w:val="24"/>
        </w:rPr>
        <w:drawing>
          <wp:inline distT="0" distB="0" distL="0" distR="0">
            <wp:extent cx="6120130" cy="1168388"/>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1168388"/>
                    </a:xfrm>
                    <a:prstGeom prst="rect">
                      <a:avLst/>
                    </a:prstGeom>
                    <a:noFill/>
                    <a:ln>
                      <a:noFill/>
                    </a:ln>
                  </pic:spPr>
                </pic:pic>
              </a:graphicData>
            </a:graphic>
          </wp:inline>
        </w:drawing>
      </w:r>
    </w:p>
    <w:p w:rsidR="00500073" w:rsidRDefault="002332E9" w:rsidP="00500073">
      <w:pPr>
        <w:spacing w:line="360" w:lineRule="auto"/>
        <w:jc w:val="both"/>
        <w:rPr>
          <w:rFonts w:ascii="Times New Roman" w:hAnsi="Times New Roman"/>
          <w:i/>
          <w:sz w:val="24"/>
          <w:szCs w:val="24"/>
          <w:u w:val="single"/>
        </w:rPr>
      </w:pPr>
      <w:r w:rsidRPr="00DC7105">
        <w:rPr>
          <w:rFonts w:ascii="Times New Roman" w:hAnsi="Times New Roman"/>
          <w:i/>
          <w:sz w:val="24"/>
          <w:szCs w:val="24"/>
          <w:u w:val="single"/>
        </w:rPr>
        <w:t>Criticità della Scheda di Ateneo:</w:t>
      </w:r>
    </w:p>
    <w:p w:rsidR="00500073" w:rsidRDefault="00500073" w:rsidP="00500073">
      <w:pPr>
        <w:spacing w:line="360" w:lineRule="auto"/>
        <w:jc w:val="both"/>
        <w:rPr>
          <w:rFonts w:ascii="Times New Roman" w:hAnsi="Times New Roman"/>
          <w:sz w:val="24"/>
          <w:szCs w:val="24"/>
        </w:rPr>
      </w:pPr>
      <w:r>
        <w:rPr>
          <w:rFonts w:ascii="Times New Roman" w:hAnsi="Times New Roman"/>
          <w:i/>
          <w:sz w:val="24"/>
          <w:szCs w:val="24"/>
          <w:u w:val="single"/>
        </w:rPr>
        <w:t>L</w:t>
      </w:r>
      <w:r w:rsidR="002332E9" w:rsidRPr="00DC7105">
        <w:rPr>
          <w:rFonts w:ascii="Times New Roman" w:hAnsi="Times New Roman"/>
          <w:i/>
          <w:sz w:val="24"/>
          <w:szCs w:val="24"/>
          <w:u w:val="single"/>
        </w:rPr>
        <w:t>a scheda restituisce indicatori normalizzati</w:t>
      </w:r>
      <w:r w:rsidR="00DC7105" w:rsidRPr="00DC7105">
        <w:rPr>
          <w:rFonts w:ascii="Times New Roman" w:hAnsi="Times New Roman"/>
          <w:i/>
          <w:sz w:val="24"/>
          <w:szCs w:val="24"/>
          <w:u w:val="single"/>
        </w:rPr>
        <w:t xml:space="preserve"> e</w:t>
      </w:r>
      <w:r w:rsidR="002332E9" w:rsidRPr="00DC7105">
        <w:rPr>
          <w:rFonts w:ascii="Times New Roman" w:hAnsi="Times New Roman"/>
          <w:i/>
          <w:sz w:val="24"/>
          <w:szCs w:val="24"/>
          <w:u w:val="single"/>
        </w:rPr>
        <w:t xml:space="preserve"> non già il dato grezzo, né la metrica per la costruzione dell’indicatore, per cui non </w:t>
      </w:r>
      <w:r w:rsidR="002E4DFD">
        <w:rPr>
          <w:rFonts w:ascii="Times New Roman" w:hAnsi="Times New Roman"/>
          <w:i/>
          <w:sz w:val="24"/>
          <w:szCs w:val="24"/>
          <w:u w:val="single"/>
        </w:rPr>
        <w:t>appare ad oggi facile</w:t>
      </w:r>
      <w:r w:rsidR="002332E9" w:rsidRPr="00DC7105">
        <w:rPr>
          <w:rFonts w:ascii="Times New Roman" w:hAnsi="Times New Roman"/>
          <w:i/>
          <w:sz w:val="24"/>
          <w:szCs w:val="24"/>
          <w:u w:val="single"/>
        </w:rPr>
        <w:t xml:space="preserve"> effettuare un confronto con i dati che </w:t>
      </w:r>
      <w:r w:rsidR="002332E9" w:rsidRPr="00DC7105">
        <w:rPr>
          <w:rFonts w:ascii="Times New Roman" w:hAnsi="Times New Roman"/>
          <w:i/>
          <w:sz w:val="24"/>
          <w:szCs w:val="24"/>
          <w:u w:val="single"/>
        </w:rPr>
        <w:lastRenderedPageBreak/>
        <w:t>ci restituisce il cruscotto per valutare eventuali discordanze</w:t>
      </w:r>
      <w:r w:rsidR="002332E9" w:rsidRPr="00DC7105">
        <w:rPr>
          <w:rFonts w:ascii="Times New Roman" w:hAnsi="Times New Roman"/>
          <w:sz w:val="24"/>
          <w:szCs w:val="24"/>
          <w:u w:val="single"/>
        </w:rPr>
        <w:t>.</w:t>
      </w:r>
      <w:r w:rsidR="00DC7105" w:rsidRPr="00DC7105">
        <w:rPr>
          <w:rFonts w:ascii="Times New Roman" w:hAnsi="Times New Roman"/>
          <w:sz w:val="24"/>
          <w:szCs w:val="24"/>
          <w:u w:val="single"/>
        </w:rPr>
        <w:t xml:space="preserve"> </w:t>
      </w:r>
      <w:r w:rsidR="00DC7105" w:rsidRPr="00DC7105">
        <w:rPr>
          <w:rFonts w:ascii="Times New Roman" w:hAnsi="Times New Roman"/>
          <w:i/>
          <w:sz w:val="24"/>
          <w:szCs w:val="24"/>
          <w:u w:val="single"/>
        </w:rPr>
        <w:t>Si ritiene urgente chiedere all’ANVUR spiegazioni circa il calcolo degli indicatori svolto</w:t>
      </w:r>
      <w:r w:rsidR="00DC7105" w:rsidRPr="00DC7105">
        <w:rPr>
          <w:rFonts w:ascii="Times New Roman" w:hAnsi="Times New Roman"/>
          <w:sz w:val="24"/>
          <w:szCs w:val="24"/>
          <w:u w:val="single"/>
        </w:rPr>
        <w:t>.</w:t>
      </w:r>
      <w:r w:rsidRPr="00500073">
        <w:rPr>
          <w:rFonts w:ascii="Times New Roman" w:hAnsi="Times New Roman"/>
          <w:sz w:val="24"/>
          <w:szCs w:val="24"/>
        </w:rPr>
        <w:t xml:space="preserve"> </w:t>
      </w:r>
    </w:p>
    <w:p w:rsidR="00500073" w:rsidRPr="00DC7105" w:rsidRDefault="00500073" w:rsidP="00500073">
      <w:pPr>
        <w:spacing w:line="360" w:lineRule="auto"/>
        <w:jc w:val="both"/>
        <w:rPr>
          <w:rFonts w:ascii="Times New Roman" w:hAnsi="Times New Roman"/>
          <w:sz w:val="24"/>
          <w:szCs w:val="24"/>
        </w:rPr>
      </w:pPr>
      <w:r w:rsidRPr="00500073">
        <w:rPr>
          <w:rFonts w:ascii="Times New Roman" w:hAnsi="Times New Roman"/>
          <w:i/>
          <w:sz w:val="24"/>
          <w:szCs w:val="24"/>
          <w:u w:val="single"/>
        </w:rPr>
        <w:t xml:space="preserve">Nel prendere atto delle valutazioni ANVUR provvisorie sin qui di riferimento, si ritiene comunque importante sottolineare che si ha consapevolezza che esse sono </w:t>
      </w:r>
      <w:r w:rsidR="002E4DFD">
        <w:rPr>
          <w:rFonts w:ascii="Times New Roman" w:hAnsi="Times New Roman"/>
          <w:i/>
          <w:sz w:val="24"/>
          <w:szCs w:val="24"/>
          <w:u w:val="single"/>
        </w:rPr>
        <w:t xml:space="preserve">in parte </w:t>
      </w:r>
      <w:r w:rsidRPr="00500073">
        <w:rPr>
          <w:rFonts w:ascii="Times New Roman" w:hAnsi="Times New Roman"/>
          <w:i/>
          <w:sz w:val="24"/>
          <w:szCs w:val="24"/>
          <w:u w:val="single"/>
        </w:rPr>
        <w:t xml:space="preserve">basate </w:t>
      </w:r>
      <w:r w:rsidR="002E4DFD">
        <w:rPr>
          <w:rFonts w:ascii="Times New Roman" w:hAnsi="Times New Roman"/>
          <w:i/>
          <w:sz w:val="24"/>
          <w:szCs w:val="24"/>
          <w:u w:val="single"/>
        </w:rPr>
        <w:t>sul passato, per cui vanno considerate per valutare quale sia la metodica di verifica ANVUR per una sua applicazione ad oggi, più che per valutare lo stato attuale dell’</w:t>
      </w:r>
      <w:proofErr w:type="spellStart"/>
      <w:r w:rsidR="002E4DFD">
        <w:rPr>
          <w:rFonts w:ascii="Times New Roman" w:hAnsi="Times New Roman"/>
          <w:i/>
          <w:sz w:val="24"/>
          <w:szCs w:val="24"/>
          <w:u w:val="single"/>
        </w:rPr>
        <w:t>ateneo.Inoltre</w:t>
      </w:r>
      <w:proofErr w:type="spellEnd"/>
      <w:r w:rsidR="002E4DFD">
        <w:rPr>
          <w:rFonts w:ascii="Times New Roman" w:hAnsi="Times New Roman"/>
          <w:i/>
          <w:sz w:val="24"/>
          <w:szCs w:val="24"/>
          <w:u w:val="single"/>
        </w:rPr>
        <w:t xml:space="preserve">, le valutazioni sono state basate </w:t>
      </w:r>
      <w:r w:rsidRPr="00500073">
        <w:rPr>
          <w:rFonts w:ascii="Times New Roman" w:hAnsi="Times New Roman"/>
          <w:i/>
          <w:sz w:val="24"/>
          <w:szCs w:val="24"/>
          <w:u w:val="single"/>
        </w:rPr>
        <w:t>su dati ANS che non sempre risultano collimati con quelli in ESSE3. Esperienze recenti (nel calcolo di altri indicatori) hanno messo in evidenza la necessità di un continuo lavoro di controllo delle informazioni acquisite nel database ANS, poiché si è verificato che quando questo controllo non è stato svolto, i valori degli indicatori calcolati dal MIUR sono risultati più bassi di quelli reali, a forte discapito della valutazione positiva dell’ateneo.</w:t>
      </w:r>
      <w:r w:rsidR="003246ED">
        <w:rPr>
          <w:rFonts w:ascii="Times New Roman" w:hAnsi="Times New Roman"/>
          <w:i/>
          <w:sz w:val="24"/>
          <w:szCs w:val="24"/>
          <w:u w:val="single"/>
        </w:rPr>
        <w:t xml:space="preserve"> Dunque, si ritiene particolarmente urgente una verifica in merito alla affidabilità attuale de</w:t>
      </w:r>
      <w:r w:rsidR="00A91A6C">
        <w:rPr>
          <w:rFonts w:ascii="Times New Roman" w:hAnsi="Times New Roman"/>
          <w:i/>
          <w:sz w:val="24"/>
          <w:szCs w:val="24"/>
          <w:u w:val="single"/>
        </w:rPr>
        <w:t>i dati ANS da parte dell’ufficio dell’amministrazione preposto al monitoraggio ‘dati della formazione e statistica’ di ateneo</w:t>
      </w:r>
      <w:r w:rsidR="003A6E02">
        <w:rPr>
          <w:rFonts w:ascii="Times New Roman" w:hAnsi="Times New Roman"/>
          <w:i/>
          <w:sz w:val="24"/>
          <w:szCs w:val="24"/>
          <w:u w:val="single"/>
        </w:rPr>
        <w:t>, nonché una attuazione continua di tale tipo di verifica</w:t>
      </w:r>
      <w:r w:rsidR="00A91A6C">
        <w:rPr>
          <w:rFonts w:ascii="Times New Roman" w:hAnsi="Times New Roman"/>
          <w:i/>
          <w:sz w:val="24"/>
          <w:szCs w:val="24"/>
          <w:u w:val="single"/>
        </w:rPr>
        <w:t>.</w:t>
      </w:r>
    </w:p>
    <w:p w:rsidR="002332E9" w:rsidRPr="00DC7105" w:rsidRDefault="002332E9" w:rsidP="002332E9">
      <w:pPr>
        <w:spacing w:line="360" w:lineRule="auto"/>
        <w:jc w:val="both"/>
        <w:rPr>
          <w:rFonts w:ascii="Times New Roman" w:hAnsi="Times New Roman"/>
          <w:b/>
          <w:sz w:val="24"/>
          <w:szCs w:val="24"/>
          <w:u w:val="single"/>
        </w:rPr>
      </w:pPr>
    </w:p>
    <w:p w:rsidR="002332E9" w:rsidRPr="002332E9" w:rsidRDefault="00DC7105" w:rsidP="002332E9">
      <w:pPr>
        <w:spacing w:line="360" w:lineRule="auto"/>
        <w:jc w:val="both"/>
        <w:rPr>
          <w:rFonts w:ascii="Times New Roman" w:hAnsi="Times New Roman"/>
          <w:sz w:val="24"/>
          <w:szCs w:val="24"/>
        </w:rPr>
      </w:pPr>
      <w:r>
        <w:rPr>
          <w:rFonts w:ascii="Times New Roman" w:hAnsi="Times New Roman"/>
          <w:sz w:val="24"/>
          <w:szCs w:val="24"/>
        </w:rPr>
        <w:t>L</w:t>
      </w:r>
      <w:r w:rsidR="002332E9" w:rsidRPr="002332E9">
        <w:rPr>
          <w:rFonts w:ascii="Times New Roman" w:hAnsi="Times New Roman"/>
          <w:sz w:val="24"/>
          <w:szCs w:val="24"/>
        </w:rPr>
        <w:t xml:space="preserve">a </w:t>
      </w:r>
      <w:r w:rsidR="002332E9" w:rsidRPr="0003402D">
        <w:rPr>
          <w:rFonts w:ascii="Times New Roman" w:hAnsi="Times New Roman"/>
          <w:b/>
          <w:sz w:val="24"/>
          <w:szCs w:val="24"/>
        </w:rPr>
        <w:t>Scheda di ciascun Corso di Studio</w:t>
      </w:r>
      <w:r w:rsidR="002332E9" w:rsidRPr="002332E9">
        <w:rPr>
          <w:rFonts w:ascii="Times New Roman" w:hAnsi="Times New Roman"/>
          <w:sz w:val="24"/>
          <w:szCs w:val="24"/>
        </w:rPr>
        <w:t xml:space="preserve"> è divisa in due parti: una anagrafica e una relativa agli indicatori. Nella scheda di </w:t>
      </w:r>
      <w:proofErr w:type="spellStart"/>
      <w:r w:rsidR="002332E9" w:rsidRPr="002332E9">
        <w:rPr>
          <w:rFonts w:ascii="Times New Roman" w:hAnsi="Times New Roman"/>
          <w:sz w:val="24"/>
          <w:szCs w:val="24"/>
        </w:rPr>
        <w:t>CdS</w:t>
      </w:r>
      <w:proofErr w:type="spellEnd"/>
      <w:r w:rsidR="002332E9" w:rsidRPr="002332E9">
        <w:rPr>
          <w:rFonts w:ascii="Times New Roman" w:hAnsi="Times New Roman"/>
          <w:sz w:val="24"/>
          <w:szCs w:val="24"/>
        </w:rPr>
        <w:t>, ciascun corso di Studio è comparato con i corsi della stessa classe di laurea e tipologia (magistrale, triennale e a ciclo unico) per l’intero territorio nazionale o per ripartizione (Nord, Centro, Mezzogiorno).</w:t>
      </w:r>
    </w:p>
    <w:p w:rsidR="002332E9" w:rsidRPr="002332E9" w:rsidRDefault="002332E9" w:rsidP="002332E9">
      <w:pPr>
        <w:spacing w:line="360" w:lineRule="auto"/>
        <w:jc w:val="both"/>
        <w:rPr>
          <w:rFonts w:ascii="Times New Roman" w:hAnsi="Times New Roman"/>
          <w:sz w:val="24"/>
          <w:szCs w:val="24"/>
        </w:rPr>
      </w:pPr>
      <w:r w:rsidRPr="002332E9">
        <w:rPr>
          <w:rFonts w:ascii="Times New Roman" w:hAnsi="Times New Roman"/>
          <w:sz w:val="24"/>
          <w:szCs w:val="24"/>
        </w:rPr>
        <w:t xml:space="preserve">Nella </w:t>
      </w:r>
      <w:r w:rsidRPr="002332E9">
        <w:rPr>
          <w:rFonts w:ascii="Times New Roman" w:hAnsi="Times New Roman"/>
          <w:b/>
          <w:i/>
          <w:sz w:val="24"/>
          <w:szCs w:val="24"/>
        </w:rPr>
        <w:t>Parte anagrafica</w:t>
      </w:r>
      <w:r w:rsidRPr="002332E9">
        <w:rPr>
          <w:rFonts w:ascii="Times New Roman" w:hAnsi="Times New Roman"/>
          <w:sz w:val="24"/>
          <w:szCs w:val="24"/>
        </w:rPr>
        <w:t xml:space="preserve"> vengono riportate tutte le informazioni del Corso di studio confrontate con la media nazionale dei Corsi della stessa classe di laurea. </w:t>
      </w:r>
    </w:p>
    <w:p w:rsidR="002332E9" w:rsidRDefault="002332E9" w:rsidP="002332E9">
      <w:pPr>
        <w:spacing w:line="360" w:lineRule="auto"/>
        <w:jc w:val="both"/>
        <w:rPr>
          <w:rFonts w:ascii="Times New Roman" w:hAnsi="Times New Roman"/>
          <w:sz w:val="24"/>
          <w:szCs w:val="24"/>
        </w:rPr>
      </w:pPr>
      <w:r w:rsidRPr="002332E9">
        <w:rPr>
          <w:rFonts w:ascii="Times New Roman" w:hAnsi="Times New Roman"/>
          <w:sz w:val="24"/>
          <w:szCs w:val="24"/>
        </w:rPr>
        <w:t xml:space="preserve">La </w:t>
      </w:r>
      <w:r w:rsidRPr="002332E9">
        <w:rPr>
          <w:rFonts w:ascii="Times New Roman" w:hAnsi="Times New Roman"/>
          <w:b/>
          <w:i/>
          <w:sz w:val="24"/>
          <w:szCs w:val="24"/>
        </w:rPr>
        <w:t>Parte relativa agli indicatori</w:t>
      </w:r>
      <w:r w:rsidRPr="002332E9">
        <w:rPr>
          <w:rFonts w:ascii="Times New Roman" w:hAnsi="Times New Roman"/>
          <w:sz w:val="24"/>
          <w:szCs w:val="24"/>
        </w:rPr>
        <w:t xml:space="preserve"> è suddivisa in tre sezioni. Nella scheda di </w:t>
      </w:r>
      <w:proofErr w:type="spellStart"/>
      <w:r w:rsidRPr="002332E9">
        <w:rPr>
          <w:rFonts w:ascii="Times New Roman" w:hAnsi="Times New Roman"/>
          <w:sz w:val="24"/>
          <w:szCs w:val="24"/>
        </w:rPr>
        <w:t>CdS</w:t>
      </w:r>
      <w:proofErr w:type="spellEnd"/>
      <w:r w:rsidRPr="002332E9">
        <w:rPr>
          <w:rFonts w:ascii="Times New Roman" w:hAnsi="Times New Roman"/>
          <w:sz w:val="24"/>
          <w:szCs w:val="24"/>
        </w:rPr>
        <w:t xml:space="preserve"> l’indicatore non è normalizzato né ponderato, ma restituito in forma percentuale</w:t>
      </w:r>
      <w:r w:rsidR="00DC7105">
        <w:rPr>
          <w:rFonts w:ascii="Times New Roman" w:hAnsi="Times New Roman"/>
          <w:sz w:val="24"/>
          <w:szCs w:val="24"/>
        </w:rPr>
        <w:t>.</w:t>
      </w:r>
    </w:p>
    <w:p w:rsidR="00DC7105" w:rsidRDefault="00DC7105" w:rsidP="00DC7105">
      <w:pPr>
        <w:spacing w:line="360" w:lineRule="auto"/>
        <w:jc w:val="both"/>
        <w:rPr>
          <w:rFonts w:ascii="Times New Roman" w:hAnsi="Times New Roman"/>
          <w:sz w:val="24"/>
          <w:szCs w:val="24"/>
        </w:rPr>
      </w:pPr>
      <w:r w:rsidRPr="00DC7105">
        <w:rPr>
          <w:rFonts w:ascii="Times New Roman" w:hAnsi="Times New Roman"/>
          <w:sz w:val="24"/>
          <w:szCs w:val="24"/>
        </w:rPr>
        <w:t xml:space="preserve">Per le valutazioni ANVUR sui diversi </w:t>
      </w:r>
      <w:proofErr w:type="spellStart"/>
      <w:r w:rsidRPr="00DC7105">
        <w:rPr>
          <w:rFonts w:ascii="Times New Roman" w:hAnsi="Times New Roman"/>
          <w:sz w:val="24"/>
          <w:szCs w:val="24"/>
        </w:rPr>
        <w:t>CdS</w:t>
      </w:r>
      <w:proofErr w:type="spellEnd"/>
      <w:r w:rsidRPr="00DC7105">
        <w:rPr>
          <w:rFonts w:ascii="Times New Roman" w:hAnsi="Times New Roman"/>
          <w:sz w:val="24"/>
          <w:szCs w:val="24"/>
        </w:rPr>
        <w:t xml:space="preserve"> si rimanda </w:t>
      </w:r>
      <w:r w:rsidRPr="00041FD0">
        <w:rPr>
          <w:rFonts w:ascii="Times New Roman" w:hAnsi="Times New Roman"/>
          <w:sz w:val="24"/>
          <w:szCs w:val="24"/>
        </w:rPr>
        <w:t>all’</w:t>
      </w:r>
      <w:r w:rsidRPr="00041FD0">
        <w:rPr>
          <w:rFonts w:ascii="Times New Roman" w:hAnsi="Times New Roman"/>
          <w:b/>
          <w:sz w:val="24"/>
          <w:szCs w:val="24"/>
        </w:rPr>
        <w:t xml:space="preserve">Allegato </w:t>
      </w:r>
      <w:r w:rsidR="0003402D" w:rsidRPr="00041FD0">
        <w:rPr>
          <w:rFonts w:ascii="Times New Roman" w:hAnsi="Times New Roman"/>
          <w:b/>
          <w:sz w:val="24"/>
          <w:szCs w:val="24"/>
        </w:rPr>
        <w:t>n. 3</w:t>
      </w:r>
      <w:r w:rsidRPr="00041FD0">
        <w:rPr>
          <w:rFonts w:ascii="Times New Roman" w:hAnsi="Times New Roman"/>
          <w:sz w:val="24"/>
          <w:szCs w:val="24"/>
        </w:rPr>
        <w:t>.</w:t>
      </w:r>
    </w:p>
    <w:p w:rsidR="00500073" w:rsidRDefault="00500073" w:rsidP="00DC7105">
      <w:pPr>
        <w:spacing w:line="360" w:lineRule="auto"/>
        <w:jc w:val="both"/>
        <w:rPr>
          <w:rFonts w:ascii="Times New Roman" w:hAnsi="Times New Roman"/>
          <w:sz w:val="24"/>
          <w:szCs w:val="24"/>
        </w:rPr>
      </w:pPr>
    </w:p>
    <w:p w:rsidR="00A84EAC" w:rsidRDefault="00A84EAC" w:rsidP="00A84EAC">
      <w:pPr>
        <w:pStyle w:val="Paragrafoelenco"/>
        <w:numPr>
          <w:ilvl w:val="0"/>
          <w:numId w:val="2"/>
        </w:numPr>
        <w:spacing w:after="0" w:line="360" w:lineRule="auto"/>
        <w:ind w:left="0" w:firstLine="0"/>
        <w:jc w:val="both"/>
        <w:rPr>
          <w:rFonts w:ascii="Times New Roman" w:hAnsi="Times New Roman"/>
          <w:sz w:val="24"/>
          <w:szCs w:val="24"/>
        </w:rPr>
      </w:pPr>
      <w:r w:rsidRPr="00A84EAC">
        <w:rPr>
          <w:rFonts w:ascii="Times New Roman" w:hAnsi="Times New Roman"/>
          <w:sz w:val="24"/>
          <w:szCs w:val="24"/>
          <w:u w:val="single"/>
        </w:rPr>
        <w:t xml:space="preserve">VALUTAZIONI del PQA in MERITO </w:t>
      </w:r>
      <w:r>
        <w:rPr>
          <w:rFonts w:ascii="Times New Roman" w:hAnsi="Times New Roman"/>
          <w:sz w:val="24"/>
          <w:szCs w:val="24"/>
          <w:u w:val="single"/>
        </w:rPr>
        <w:t>a</w:t>
      </w:r>
      <w:r w:rsidRPr="00A84EAC">
        <w:rPr>
          <w:rFonts w:ascii="Times New Roman" w:hAnsi="Times New Roman"/>
          <w:sz w:val="24"/>
          <w:szCs w:val="24"/>
          <w:u w:val="single"/>
        </w:rPr>
        <w:t>ll’EROGAZIONE</w:t>
      </w:r>
      <w:r w:rsidRPr="001B1270">
        <w:rPr>
          <w:rFonts w:ascii="Times New Roman" w:hAnsi="Times New Roman"/>
          <w:sz w:val="24"/>
          <w:szCs w:val="24"/>
          <w:u w:val="single"/>
        </w:rPr>
        <w:t xml:space="preserve"> della FORMAZIONE</w:t>
      </w:r>
      <w:r>
        <w:rPr>
          <w:rFonts w:ascii="Times New Roman" w:hAnsi="Times New Roman"/>
          <w:sz w:val="24"/>
          <w:szCs w:val="24"/>
          <w:u w:val="single"/>
        </w:rPr>
        <w:t xml:space="preserve"> POLIBA</w:t>
      </w:r>
      <w:r>
        <w:rPr>
          <w:rFonts w:ascii="Times New Roman" w:hAnsi="Times New Roman"/>
          <w:sz w:val="24"/>
          <w:szCs w:val="24"/>
        </w:rPr>
        <w:t xml:space="preserve"> </w:t>
      </w:r>
    </w:p>
    <w:p w:rsidR="00E24319" w:rsidRPr="00A84EAC" w:rsidRDefault="00E24319" w:rsidP="00A84EAC">
      <w:pPr>
        <w:pStyle w:val="Paragrafoelenco"/>
        <w:spacing w:after="0" w:line="360" w:lineRule="auto"/>
        <w:ind w:left="0"/>
        <w:jc w:val="both"/>
        <w:rPr>
          <w:rFonts w:ascii="Times New Roman" w:hAnsi="Times New Roman"/>
          <w:sz w:val="24"/>
          <w:szCs w:val="24"/>
        </w:rPr>
      </w:pPr>
      <w:r w:rsidRPr="00A84EAC">
        <w:rPr>
          <w:rFonts w:ascii="Times New Roman" w:hAnsi="Times New Roman"/>
          <w:sz w:val="24"/>
          <w:szCs w:val="24"/>
        </w:rPr>
        <w:t xml:space="preserve">Per quanto i dati </w:t>
      </w:r>
      <w:r w:rsidR="00A84EAC">
        <w:rPr>
          <w:rFonts w:ascii="Times New Roman" w:hAnsi="Times New Roman"/>
          <w:sz w:val="24"/>
          <w:szCs w:val="24"/>
        </w:rPr>
        <w:t xml:space="preserve">di valutazione ANVUR </w:t>
      </w:r>
      <w:r w:rsidRPr="00A84EAC">
        <w:rPr>
          <w:rFonts w:ascii="Times New Roman" w:hAnsi="Times New Roman"/>
          <w:sz w:val="24"/>
          <w:szCs w:val="24"/>
        </w:rPr>
        <w:t xml:space="preserve">siano </w:t>
      </w:r>
      <w:r w:rsidR="00A84EAC">
        <w:rPr>
          <w:rFonts w:ascii="Times New Roman" w:hAnsi="Times New Roman"/>
          <w:sz w:val="24"/>
          <w:szCs w:val="24"/>
        </w:rPr>
        <w:t xml:space="preserve">provvisori e </w:t>
      </w:r>
      <w:r w:rsidRPr="00A84EAC">
        <w:rPr>
          <w:rFonts w:ascii="Times New Roman" w:hAnsi="Times New Roman"/>
          <w:sz w:val="24"/>
          <w:szCs w:val="24"/>
        </w:rPr>
        <w:t xml:space="preserve">da verificare, in particolare aggiornando la collimazione tra il database di calcolo del MIUR, ANS, ed il database ESSE3, </w:t>
      </w:r>
      <w:r w:rsidR="00500073">
        <w:rPr>
          <w:rFonts w:ascii="Times New Roman" w:hAnsi="Times New Roman"/>
          <w:sz w:val="24"/>
          <w:szCs w:val="24"/>
        </w:rPr>
        <w:t xml:space="preserve">quest’ultimo </w:t>
      </w:r>
      <w:r w:rsidRPr="008937C7">
        <w:rPr>
          <w:rFonts w:ascii="Times New Roman" w:hAnsi="Times New Roman"/>
          <w:sz w:val="24"/>
          <w:szCs w:val="24"/>
        </w:rPr>
        <w:t>direttamente curato in seno all’ateneo</w:t>
      </w:r>
      <w:r w:rsidR="0041649B">
        <w:rPr>
          <w:rFonts w:ascii="Times New Roman" w:hAnsi="Times New Roman"/>
          <w:sz w:val="24"/>
          <w:szCs w:val="24"/>
        </w:rPr>
        <w:t xml:space="preserve"> </w:t>
      </w:r>
      <w:r w:rsidR="00500073">
        <w:rPr>
          <w:rFonts w:ascii="Times New Roman" w:hAnsi="Times New Roman"/>
          <w:sz w:val="24"/>
          <w:szCs w:val="24"/>
        </w:rPr>
        <w:t>(</w:t>
      </w:r>
      <w:r w:rsidR="0041649B">
        <w:rPr>
          <w:rFonts w:ascii="Times New Roman" w:hAnsi="Times New Roman"/>
          <w:sz w:val="24"/>
          <w:szCs w:val="24"/>
        </w:rPr>
        <w:t xml:space="preserve">progetto </w:t>
      </w:r>
      <w:proofErr w:type="spellStart"/>
      <w:r w:rsidR="0041649B">
        <w:rPr>
          <w:rFonts w:ascii="Times New Roman" w:hAnsi="Times New Roman"/>
          <w:sz w:val="24"/>
          <w:szCs w:val="24"/>
        </w:rPr>
        <w:t>MCQ&amp;S</w:t>
      </w:r>
      <w:proofErr w:type="spellEnd"/>
      <w:r w:rsidR="00500073">
        <w:rPr>
          <w:rFonts w:ascii="Times New Roman" w:hAnsi="Times New Roman"/>
          <w:sz w:val="24"/>
          <w:szCs w:val="24"/>
        </w:rPr>
        <w:t>)</w:t>
      </w:r>
      <w:r w:rsidRPr="00A84EAC">
        <w:rPr>
          <w:rFonts w:ascii="Times New Roman" w:hAnsi="Times New Roman"/>
          <w:sz w:val="24"/>
          <w:szCs w:val="24"/>
        </w:rPr>
        <w:t xml:space="preserve">, emerge la rilevanza di una </w:t>
      </w:r>
      <w:r w:rsidRPr="00A84EAC">
        <w:rPr>
          <w:rFonts w:ascii="Times New Roman" w:hAnsi="Times New Roman"/>
          <w:sz w:val="24"/>
          <w:szCs w:val="24"/>
          <w:u w:val="single"/>
        </w:rPr>
        <w:t>intensificazione delle attività</w:t>
      </w:r>
      <w:r w:rsidR="00625B9F">
        <w:rPr>
          <w:rFonts w:ascii="Times New Roman" w:hAnsi="Times New Roman"/>
          <w:sz w:val="24"/>
          <w:szCs w:val="24"/>
          <w:u w:val="single"/>
        </w:rPr>
        <w:t>,</w:t>
      </w:r>
      <w:r w:rsidRPr="00A84EAC">
        <w:rPr>
          <w:rFonts w:ascii="Times New Roman" w:hAnsi="Times New Roman"/>
          <w:sz w:val="24"/>
          <w:szCs w:val="24"/>
          <w:u w:val="single"/>
        </w:rPr>
        <w:t xml:space="preserve"> sia in sede di ‘Riesame’, sia in seno agli organi di governo</w:t>
      </w:r>
      <w:r w:rsidRPr="007E342A">
        <w:rPr>
          <w:rFonts w:ascii="Times New Roman" w:hAnsi="Times New Roman"/>
          <w:sz w:val="24"/>
          <w:szCs w:val="24"/>
          <w:u w:val="single"/>
        </w:rPr>
        <w:t>,</w:t>
      </w:r>
      <w:r w:rsidR="007E342A" w:rsidRPr="007E342A">
        <w:rPr>
          <w:rFonts w:ascii="Times New Roman" w:hAnsi="Times New Roman"/>
          <w:sz w:val="24"/>
          <w:szCs w:val="24"/>
          <w:u w:val="single"/>
        </w:rPr>
        <w:t xml:space="preserve"> volta a </w:t>
      </w:r>
      <w:r w:rsidR="007E342A" w:rsidRPr="007E342A">
        <w:rPr>
          <w:rFonts w:ascii="Times New Roman" w:hAnsi="Times New Roman"/>
          <w:sz w:val="24"/>
          <w:szCs w:val="24"/>
          <w:u w:val="single"/>
        </w:rPr>
        <w:lastRenderedPageBreak/>
        <w:t xml:space="preserve">mitigare la criticità dei ritardi nell’andamento del percorso formativo degli studenti e a supportare gli studenti </w:t>
      </w:r>
      <w:r w:rsidR="00EB6141" w:rsidRPr="00A84EAC">
        <w:rPr>
          <w:rFonts w:ascii="Times New Roman" w:hAnsi="Times New Roman"/>
          <w:sz w:val="24"/>
          <w:szCs w:val="24"/>
          <w:u w:val="single"/>
        </w:rPr>
        <w:t xml:space="preserve">in difficoltà, </w:t>
      </w:r>
      <w:r w:rsidR="00625B9F">
        <w:rPr>
          <w:rFonts w:ascii="Times New Roman" w:hAnsi="Times New Roman"/>
          <w:sz w:val="24"/>
          <w:szCs w:val="24"/>
          <w:u w:val="single"/>
        </w:rPr>
        <w:t xml:space="preserve">che sono dunque </w:t>
      </w:r>
      <w:r w:rsidR="00EB6141" w:rsidRPr="00A84EAC">
        <w:rPr>
          <w:rFonts w:ascii="Times New Roman" w:hAnsi="Times New Roman"/>
          <w:sz w:val="24"/>
          <w:szCs w:val="24"/>
          <w:u w:val="single"/>
        </w:rPr>
        <w:t>p</w:t>
      </w:r>
      <w:bookmarkStart w:id="0" w:name="_GoBack"/>
      <w:bookmarkEnd w:id="0"/>
      <w:r w:rsidR="00EB6141" w:rsidRPr="00A84EAC">
        <w:rPr>
          <w:rFonts w:ascii="Times New Roman" w:hAnsi="Times New Roman"/>
          <w:sz w:val="24"/>
          <w:szCs w:val="24"/>
          <w:u w:val="single"/>
        </w:rPr>
        <w:t>ropensi all’abbandono degli studi</w:t>
      </w:r>
      <w:r w:rsidR="00625B9F">
        <w:rPr>
          <w:rFonts w:ascii="Times New Roman" w:hAnsi="Times New Roman"/>
          <w:sz w:val="24"/>
          <w:szCs w:val="24"/>
          <w:u w:val="single"/>
        </w:rPr>
        <w:t>,</w:t>
      </w:r>
      <w:r w:rsidR="00EB6141" w:rsidRPr="00A84EAC">
        <w:rPr>
          <w:rFonts w:ascii="Times New Roman" w:hAnsi="Times New Roman"/>
          <w:sz w:val="24"/>
          <w:szCs w:val="24"/>
          <w:u w:val="single"/>
        </w:rPr>
        <w:t xml:space="preserve"> o della sede</w:t>
      </w:r>
      <w:r w:rsidR="000F2B5E">
        <w:rPr>
          <w:rFonts w:ascii="Times New Roman" w:hAnsi="Times New Roman"/>
          <w:sz w:val="24"/>
          <w:szCs w:val="24"/>
        </w:rPr>
        <w:t xml:space="preserve">. </w:t>
      </w:r>
      <w:r w:rsidR="00625B9F">
        <w:rPr>
          <w:rFonts w:ascii="Times New Roman" w:hAnsi="Times New Roman"/>
          <w:sz w:val="24"/>
          <w:szCs w:val="24"/>
        </w:rPr>
        <w:t>Con ciò s</w:t>
      </w:r>
      <w:r w:rsidR="000F2B5E">
        <w:rPr>
          <w:rFonts w:ascii="Times New Roman" w:hAnsi="Times New Roman"/>
          <w:sz w:val="24"/>
          <w:szCs w:val="24"/>
        </w:rPr>
        <w:t xml:space="preserve">i sollecita l’attività di ateneo </w:t>
      </w:r>
      <w:r w:rsidR="00C733D1" w:rsidRPr="00A84EAC">
        <w:rPr>
          <w:rFonts w:ascii="Times New Roman" w:hAnsi="Times New Roman"/>
          <w:sz w:val="24"/>
          <w:szCs w:val="24"/>
        </w:rPr>
        <w:t xml:space="preserve">volta a rendere efficiente la formazione, </w:t>
      </w:r>
      <w:r w:rsidR="00625B9F">
        <w:rPr>
          <w:rFonts w:ascii="Times New Roman" w:hAnsi="Times New Roman"/>
          <w:sz w:val="24"/>
          <w:szCs w:val="24"/>
        </w:rPr>
        <w:t>sia</w:t>
      </w:r>
      <w:r w:rsidR="00535EA7">
        <w:rPr>
          <w:rFonts w:ascii="Times New Roman" w:hAnsi="Times New Roman"/>
          <w:sz w:val="24"/>
          <w:szCs w:val="24"/>
        </w:rPr>
        <w:t xml:space="preserve"> preservando</w:t>
      </w:r>
      <w:r w:rsidR="00625B9F">
        <w:rPr>
          <w:rFonts w:ascii="Times New Roman" w:hAnsi="Times New Roman"/>
          <w:sz w:val="24"/>
          <w:szCs w:val="24"/>
        </w:rPr>
        <w:t xml:space="preserve"> </w:t>
      </w:r>
      <w:r w:rsidR="00C733D1" w:rsidRPr="00A84EAC">
        <w:rPr>
          <w:rFonts w:ascii="Times New Roman" w:hAnsi="Times New Roman"/>
          <w:sz w:val="24"/>
          <w:szCs w:val="24"/>
        </w:rPr>
        <w:t>l’alta qualità della preparazione dello studente, che ne garantisc</w:t>
      </w:r>
      <w:r w:rsidR="00535EA7">
        <w:rPr>
          <w:rFonts w:ascii="Times New Roman" w:hAnsi="Times New Roman"/>
          <w:sz w:val="24"/>
          <w:szCs w:val="24"/>
        </w:rPr>
        <w:t>e</w:t>
      </w:r>
      <w:r w:rsidR="00C733D1" w:rsidRPr="00A84EAC">
        <w:rPr>
          <w:rFonts w:ascii="Times New Roman" w:hAnsi="Times New Roman"/>
          <w:sz w:val="24"/>
          <w:szCs w:val="24"/>
        </w:rPr>
        <w:t xml:space="preserve"> l’insediamento </w:t>
      </w:r>
      <w:r w:rsidR="00F948B7" w:rsidRPr="00A84EAC">
        <w:rPr>
          <w:rFonts w:ascii="Times New Roman" w:hAnsi="Times New Roman"/>
          <w:sz w:val="24"/>
          <w:szCs w:val="24"/>
        </w:rPr>
        <w:t xml:space="preserve">ed il successo </w:t>
      </w:r>
      <w:r w:rsidR="00C733D1" w:rsidRPr="00A84EAC">
        <w:rPr>
          <w:rFonts w:ascii="Times New Roman" w:hAnsi="Times New Roman"/>
          <w:sz w:val="24"/>
          <w:szCs w:val="24"/>
        </w:rPr>
        <w:t xml:space="preserve">nel mondo del lavoro, </w:t>
      </w:r>
      <w:r w:rsidR="00625B9F">
        <w:rPr>
          <w:rFonts w:ascii="Times New Roman" w:hAnsi="Times New Roman"/>
          <w:sz w:val="24"/>
          <w:szCs w:val="24"/>
        </w:rPr>
        <w:t xml:space="preserve">sia </w:t>
      </w:r>
      <w:r w:rsidR="00535EA7">
        <w:rPr>
          <w:rFonts w:ascii="Times New Roman" w:hAnsi="Times New Roman"/>
          <w:sz w:val="24"/>
          <w:szCs w:val="24"/>
        </w:rPr>
        <w:t xml:space="preserve">assicurando </w:t>
      </w:r>
      <w:r w:rsidR="00625B9F">
        <w:rPr>
          <w:rFonts w:ascii="Times New Roman" w:hAnsi="Times New Roman"/>
          <w:sz w:val="24"/>
          <w:szCs w:val="24"/>
        </w:rPr>
        <w:t xml:space="preserve">un’adeguata </w:t>
      </w:r>
      <w:r w:rsidR="00925CC7" w:rsidRPr="00A84EAC">
        <w:rPr>
          <w:rFonts w:ascii="Times New Roman" w:hAnsi="Times New Roman"/>
          <w:sz w:val="24"/>
          <w:szCs w:val="24"/>
        </w:rPr>
        <w:t>intens</w:t>
      </w:r>
      <w:r w:rsidR="00625B9F">
        <w:rPr>
          <w:rFonts w:ascii="Times New Roman" w:hAnsi="Times New Roman"/>
          <w:sz w:val="24"/>
          <w:szCs w:val="24"/>
        </w:rPr>
        <w:t>ità</w:t>
      </w:r>
      <w:r w:rsidR="00925CC7" w:rsidRPr="00A84EAC">
        <w:rPr>
          <w:rFonts w:ascii="Times New Roman" w:hAnsi="Times New Roman"/>
          <w:sz w:val="24"/>
          <w:szCs w:val="24"/>
        </w:rPr>
        <w:t xml:space="preserve"> </w:t>
      </w:r>
      <w:r w:rsidR="00625B9F">
        <w:rPr>
          <w:rFonts w:ascii="Times New Roman" w:hAnsi="Times New Roman"/>
          <w:sz w:val="24"/>
          <w:szCs w:val="24"/>
        </w:rPr>
        <w:t>di crescita del</w:t>
      </w:r>
      <w:r w:rsidR="00925CC7" w:rsidRPr="00A84EAC">
        <w:rPr>
          <w:rFonts w:ascii="Times New Roman" w:hAnsi="Times New Roman"/>
          <w:sz w:val="24"/>
          <w:szCs w:val="24"/>
        </w:rPr>
        <w:t xml:space="preserve">la </w:t>
      </w:r>
      <w:r w:rsidR="00625B9F">
        <w:rPr>
          <w:rFonts w:ascii="Times New Roman" w:hAnsi="Times New Roman"/>
          <w:sz w:val="24"/>
          <w:szCs w:val="24"/>
        </w:rPr>
        <w:t xml:space="preserve">sua </w:t>
      </w:r>
      <w:r w:rsidR="00925CC7" w:rsidRPr="00A84EAC">
        <w:rPr>
          <w:rFonts w:ascii="Times New Roman" w:hAnsi="Times New Roman"/>
          <w:sz w:val="24"/>
          <w:szCs w:val="24"/>
        </w:rPr>
        <w:t xml:space="preserve">formazione, </w:t>
      </w:r>
      <w:r w:rsidR="00FA428A">
        <w:rPr>
          <w:rFonts w:ascii="Times New Roman" w:hAnsi="Times New Roman"/>
          <w:sz w:val="24"/>
          <w:szCs w:val="24"/>
        </w:rPr>
        <w:t>affinché</w:t>
      </w:r>
      <w:r w:rsidR="00FA428A" w:rsidRPr="00A84EAC">
        <w:rPr>
          <w:rFonts w:ascii="Times New Roman" w:hAnsi="Times New Roman"/>
          <w:sz w:val="24"/>
          <w:szCs w:val="24"/>
        </w:rPr>
        <w:t xml:space="preserve"> </w:t>
      </w:r>
      <w:r w:rsidR="000F2B5E">
        <w:rPr>
          <w:rFonts w:ascii="Times New Roman" w:hAnsi="Times New Roman"/>
          <w:sz w:val="24"/>
          <w:szCs w:val="24"/>
        </w:rPr>
        <w:t xml:space="preserve">questa </w:t>
      </w:r>
      <w:r w:rsidR="00925CC7" w:rsidRPr="00A84EAC">
        <w:rPr>
          <w:rFonts w:ascii="Times New Roman" w:hAnsi="Times New Roman"/>
          <w:sz w:val="24"/>
          <w:szCs w:val="24"/>
        </w:rPr>
        <w:t>non sia diluita nel tempo</w:t>
      </w:r>
      <w:r w:rsidR="000F2B5E">
        <w:rPr>
          <w:rFonts w:ascii="Times New Roman" w:hAnsi="Times New Roman"/>
          <w:sz w:val="24"/>
          <w:szCs w:val="24"/>
        </w:rPr>
        <w:t>. L’</w:t>
      </w:r>
      <w:r w:rsidR="00535EA7">
        <w:rPr>
          <w:rFonts w:ascii="Times New Roman" w:hAnsi="Times New Roman"/>
          <w:sz w:val="24"/>
          <w:szCs w:val="24"/>
        </w:rPr>
        <w:t xml:space="preserve">eccessiva </w:t>
      </w:r>
      <w:r w:rsidR="00F948B7" w:rsidRPr="00A84EAC">
        <w:rPr>
          <w:rFonts w:ascii="Times New Roman" w:hAnsi="Times New Roman"/>
          <w:sz w:val="24"/>
          <w:szCs w:val="24"/>
        </w:rPr>
        <w:t>durata degli studi</w:t>
      </w:r>
      <w:r w:rsidR="000F2B5E">
        <w:rPr>
          <w:rFonts w:ascii="Times New Roman" w:hAnsi="Times New Roman"/>
          <w:sz w:val="24"/>
          <w:szCs w:val="24"/>
        </w:rPr>
        <w:t xml:space="preserve">, infatti, </w:t>
      </w:r>
      <w:r w:rsidR="00F948B7" w:rsidRPr="00A84EAC">
        <w:rPr>
          <w:rFonts w:ascii="Times New Roman" w:hAnsi="Times New Roman"/>
          <w:sz w:val="24"/>
          <w:szCs w:val="24"/>
        </w:rPr>
        <w:t xml:space="preserve">può essere </w:t>
      </w:r>
      <w:r w:rsidR="00925CC7" w:rsidRPr="00A84EAC">
        <w:rPr>
          <w:rFonts w:ascii="Times New Roman" w:hAnsi="Times New Roman"/>
          <w:sz w:val="24"/>
          <w:szCs w:val="24"/>
        </w:rPr>
        <w:t>a detrimento del</w:t>
      </w:r>
      <w:r w:rsidR="00625B9F">
        <w:rPr>
          <w:rFonts w:ascii="Times New Roman" w:hAnsi="Times New Roman"/>
          <w:sz w:val="24"/>
          <w:szCs w:val="24"/>
        </w:rPr>
        <w:t>la</w:t>
      </w:r>
      <w:r w:rsidR="00925CC7" w:rsidRPr="00A84EAC">
        <w:rPr>
          <w:rFonts w:ascii="Times New Roman" w:hAnsi="Times New Roman"/>
          <w:sz w:val="24"/>
          <w:szCs w:val="24"/>
        </w:rPr>
        <w:t xml:space="preserve"> success</w:t>
      </w:r>
      <w:r w:rsidR="00F948B7" w:rsidRPr="00A84EAC">
        <w:rPr>
          <w:rFonts w:ascii="Times New Roman" w:hAnsi="Times New Roman"/>
          <w:sz w:val="24"/>
          <w:szCs w:val="24"/>
        </w:rPr>
        <w:t>iva</w:t>
      </w:r>
      <w:r w:rsidR="00925CC7" w:rsidRPr="00A84EAC">
        <w:rPr>
          <w:rFonts w:ascii="Times New Roman" w:hAnsi="Times New Roman"/>
          <w:sz w:val="24"/>
          <w:szCs w:val="24"/>
        </w:rPr>
        <w:t xml:space="preserve"> carriera lavorativa del laureato</w:t>
      </w:r>
      <w:r w:rsidR="00EB6141" w:rsidRPr="00A84EAC">
        <w:rPr>
          <w:rFonts w:ascii="Times New Roman" w:hAnsi="Times New Roman"/>
          <w:sz w:val="24"/>
          <w:szCs w:val="24"/>
        </w:rPr>
        <w:t xml:space="preserve">. </w:t>
      </w:r>
    </w:p>
    <w:p w:rsidR="00AA39ED" w:rsidRDefault="00FA428A" w:rsidP="006A59D4">
      <w:pPr>
        <w:spacing w:after="0" w:line="360" w:lineRule="auto"/>
        <w:jc w:val="both"/>
        <w:rPr>
          <w:rFonts w:ascii="Times New Roman" w:hAnsi="Times New Roman"/>
          <w:sz w:val="24"/>
          <w:szCs w:val="24"/>
        </w:rPr>
      </w:pPr>
      <w:r>
        <w:rPr>
          <w:rFonts w:ascii="Times New Roman" w:hAnsi="Times New Roman"/>
          <w:sz w:val="24"/>
          <w:szCs w:val="24"/>
        </w:rPr>
        <w:t>Come rimarcato dal PQA, in varie sedi</w:t>
      </w:r>
      <w:r w:rsidR="0003402D">
        <w:rPr>
          <w:rFonts w:ascii="Times New Roman" w:hAnsi="Times New Roman"/>
          <w:sz w:val="24"/>
          <w:szCs w:val="24"/>
        </w:rPr>
        <w:t xml:space="preserve"> e documenti (vedasi ad esempio</w:t>
      </w:r>
      <w:r>
        <w:rPr>
          <w:rFonts w:ascii="Times New Roman" w:hAnsi="Times New Roman"/>
          <w:sz w:val="24"/>
          <w:szCs w:val="24"/>
        </w:rPr>
        <w:t xml:space="preserve"> la</w:t>
      </w:r>
      <w:r w:rsidR="00625B9F">
        <w:rPr>
          <w:rFonts w:ascii="Times New Roman" w:hAnsi="Times New Roman"/>
          <w:sz w:val="24"/>
          <w:szCs w:val="24"/>
        </w:rPr>
        <w:t xml:space="preserve"> </w:t>
      </w:r>
      <w:r w:rsidR="00F948B7">
        <w:rPr>
          <w:rFonts w:ascii="Times New Roman" w:hAnsi="Times New Roman"/>
          <w:sz w:val="24"/>
          <w:szCs w:val="24"/>
        </w:rPr>
        <w:t>.</w:t>
      </w:r>
      <w:r w:rsidR="00CC39A2">
        <w:rPr>
          <w:rFonts w:ascii="Times New Roman" w:hAnsi="Times New Roman"/>
          <w:sz w:val="24"/>
          <w:szCs w:val="24"/>
        </w:rPr>
        <w:t>premessa agli indirizzi di analisi per le Relazioni di Riesame, sia nel Dicembre 2013, sia nel 2014 documenti sul sito web PQA)</w:t>
      </w:r>
      <w:r w:rsidR="00CC6B37">
        <w:rPr>
          <w:rFonts w:ascii="Times New Roman" w:hAnsi="Times New Roman"/>
          <w:sz w:val="24"/>
          <w:szCs w:val="24"/>
        </w:rPr>
        <w:t>, la problematica della lunga durata degli studi (pochi CFU/studente/anno, mol</w:t>
      </w:r>
      <w:r w:rsidR="002453A2">
        <w:rPr>
          <w:rFonts w:ascii="Times New Roman" w:hAnsi="Times New Roman"/>
          <w:sz w:val="24"/>
          <w:szCs w:val="24"/>
        </w:rPr>
        <w:t>t</w:t>
      </w:r>
      <w:r w:rsidR="00CC6B37">
        <w:rPr>
          <w:rFonts w:ascii="Times New Roman" w:hAnsi="Times New Roman"/>
          <w:sz w:val="24"/>
          <w:szCs w:val="24"/>
        </w:rPr>
        <w:t>i st</w:t>
      </w:r>
      <w:r w:rsidR="002453A2">
        <w:rPr>
          <w:rFonts w:ascii="Times New Roman" w:hAnsi="Times New Roman"/>
          <w:sz w:val="24"/>
          <w:szCs w:val="24"/>
        </w:rPr>
        <w:t>u</w:t>
      </w:r>
      <w:r w:rsidR="00CC6B37">
        <w:rPr>
          <w:rFonts w:ascii="Times New Roman" w:hAnsi="Times New Roman"/>
          <w:sz w:val="24"/>
          <w:szCs w:val="24"/>
        </w:rPr>
        <w:t xml:space="preserve">denti inattivi) è ben nota presso </w:t>
      </w:r>
      <w:proofErr w:type="spellStart"/>
      <w:r w:rsidR="00CC6B37">
        <w:rPr>
          <w:rFonts w:ascii="Times New Roman" w:hAnsi="Times New Roman"/>
          <w:sz w:val="24"/>
          <w:szCs w:val="24"/>
        </w:rPr>
        <w:t>PoliBA</w:t>
      </w:r>
      <w:proofErr w:type="spellEnd"/>
      <w:r w:rsidR="00CC6B37">
        <w:rPr>
          <w:rFonts w:ascii="Times New Roman" w:hAnsi="Times New Roman"/>
          <w:sz w:val="24"/>
          <w:szCs w:val="24"/>
        </w:rPr>
        <w:t xml:space="preserve">, benché la qualità della preparazione dei laureati sia stata sempre elevata, </w:t>
      </w:r>
      <w:r w:rsidR="008937C7">
        <w:rPr>
          <w:rFonts w:ascii="Times New Roman" w:hAnsi="Times New Roman"/>
          <w:sz w:val="24"/>
          <w:szCs w:val="24"/>
        </w:rPr>
        <w:t>benché molti dei laureati siano costretti all’</w:t>
      </w:r>
      <w:r w:rsidR="00CC6B37">
        <w:rPr>
          <w:rFonts w:ascii="Times New Roman" w:hAnsi="Times New Roman"/>
          <w:sz w:val="24"/>
          <w:szCs w:val="24"/>
        </w:rPr>
        <w:t xml:space="preserve">emigrazione per la debolezza dell’offerta del mondo del lavoro in Italia meridione. A tale riguardo è stata cura del PQA allertare </w:t>
      </w:r>
      <w:r w:rsidR="00CC39A2">
        <w:rPr>
          <w:rFonts w:ascii="Times New Roman" w:hAnsi="Times New Roman"/>
          <w:sz w:val="24"/>
          <w:szCs w:val="24"/>
        </w:rPr>
        <w:t>il corpo docente preposto ai Riesame</w:t>
      </w:r>
      <w:r w:rsidR="00AA39ED">
        <w:rPr>
          <w:rFonts w:ascii="Times New Roman" w:hAnsi="Times New Roman"/>
          <w:sz w:val="24"/>
          <w:szCs w:val="24"/>
        </w:rPr>
        <w:t>,</w:t>
      </w:r>
      <w:r w:rsidR="00CC39A2">
        <w:rPr>
          <w:rFonts w:ascii="Times New Roman" w:hAnsi="Times New Roman"/>
          <w:sz w:val="24"/>
          <w:szCs w:val="24"/>
        </w:rPr>
        <w:t xml:space="preserve"> o </w:t>
      </w:r>
      <w:r w:rsidR="00AA39ED">
        <w:rPr>
          <w:rFonts w:ascii="Times New Roman" w:hAnsi="Times New Roman"/>
          <w:sz w:val="24"/>
          <w:szCs w:val="24"/>
        </w:rPr>
        <w:t xml:space="preserve">altrimenti </w:t>
      </w:r>
      <w:r w:rsidR="00CC39A2">
        <w:rPr>
          <w:rFonts w:ascii="Times New Roman" w:hAnsi="Times New Roman"/>
          <w:sz w:val="24"/>
          <w:szCs w:val="24"/>
        </w:rPr>
        <w:t>parte delle C</w:t>
      </w:r>
      <w:r w:rsidR="00535EA7">
        <w:rPr>
          <w:rFonts w:ascii="Times New Roman" w:hAnsi="Times New Roman"/>
          <w:sz w:val="24"/>
          <w:szCs w:val="24"/>
        </w:rPr>
        <w:t>ommissioni Paritetiche di Dipartimento (CDP),</w:t>
      </w:r>
      <w:r w:rsidR="00CC39A2">
        <w:rPr>
          <w:rFonts w:ascii="Times New Roman" w:hAnsi="Times New Roman"/>
          <w:sz w:val="24"/>
          <w:szCs w:val="24"/>
        </w:rPr>
        <w:t xml:space="preserve"> </w:t>
      </w:r>
      <w:r w:rsidR="008937C7">
        <w:rPr>
          <w:rFonts w:ascii="Times New Roman" w:hAnsi="Times New Roman"/>
          <w:sz w:val="24"/>
          <w:szCs w:val="24"/>
        </w:rPr>
        <w:t>de</w:t>
      </w:r>
      <w:r w:rsidR="00CC6B37">
        <w:rPr>
          <w:rFonts w:ascii="Times New Roman" w:hAnsi="Times New Roman"/>
          <w:sz w:val="24"/>
          <w:szCs w:val="24"/>
        </w:rPr>
        <w:t xml:space="preserve">lla </w:t>
      </w:r>
      <w:r w:rsidR="008937C7">
        <w:rPr>
          <w:rFonts w:ascii="Times New Roman" w:hAnsi="Times New Roman"/>
          <w:sz w:val="24"/>
          <w:szCs w:val="24"/>
        </w:rPr>
        <w:t xml:space="preserve">necessità di una </w:t>
      </w:r>
      <w:r w:rsidR="00CC6B37">
        <w:rPr>
          <w:rFonts w:ascii="Times New Roman" w:hAnsi="Times New Roman"/>
          <w:sz w:val="24"/>
          <w:szCs w:val="24"/>
        </w:rPr>
        <w:t>disamina del</w:t>
      </w:r>
      <w:r w:rsidR="000F2B5E">
        <w:rPr>
          <w:rFonts w:ascii="Times New Roman" w:hAnsi="Times New Roman"/>
          <w:sz w:val="24"/>
          <w:szCs w:val="24"/>
        </w:rPr>
        <w:t>l</w:t>
      </w:r>
      <w:r w:rsidR="00CC39A2">
        <w:rPr>
          <w:rFonts w:ascii="Times New Roman" w:hAnsi="Times New Roman"/>
          <w:sz w:val="24"/>
          <w:szCs w:val="24"/>
        </w:rPr>
        <w:t xml:space="preserve">’elevato numero di </w:t>
      </w:r>
      <w:r w:rsidR="00F948B7">
        <w:rPr>
          <w:rFonts w:ascii="Times New Roman" w:hAnsi="Times New Roman"/>
          <w:sz w:val="24"/>
          <w:szCs w:val="24"/>
        </w:rPr>
        <w:t>abbandoni in alcuni settori della formazione dell’ateneo (vedasi dati trasmessi dal PQA per i Riesame e caricati sul web PQA</w:t>
      </w:r>
      <w:r w:rsidR="00AA39ED">
        <w:rPr>
          <w:rFonts w:ascii="Times New Roman" w:hAnsi="Times New Roman"/>
          <w:sz w:val="24"/>
          <w:szCs w:val="24"/>
        </w:rPr>
        <w:t xml:space="preserve">, del Dicembre 2014 e del </w:t>
      </w:r>
      <w:r w:rsidR="00F948B7">
        <w:rPr>
          <w:rFonts w:ascii="Times New Roman" w:hAnsi="Times New Roman"/>
          <w:sz w:val="24"/>
          <w:szCs w:val="24"/>
        </w:rPr>
        <w:t>Febbraio 2015).</w:t>
      </w:r>
      <w:r w:rsidR="003733B5">
        <w:rPr>
          <w:rFonts w:ascii="Times New Roman" w:hAnsi="Times New Roman"/>
          <w:sz w:val="24"/>
          <w:szCs w:val="24"/>
        </w:rPr>
        <w:t xml:space="preserve">. </w:t>
      </w:r>
      <w:r w:rsidR="00CC6B37">
        <w:rPr>
          <w:rFonts w:ascii="Times New Roman" w:hAnsi="Times New Roman"/>
          <w:sz w:val="24"/>
          <w:szCs w:val="24"/>
        </w:rPr>
        <w:t>L’individuazione di strumenti in grado di mitigare in modo misurabile le inerzie di cui sopra è ritenuta un obiettivo di fondamentale importanza per tutto l’Ateneo.</w:t>
      </w:r>
    </w:p>
    <w:p w:rsidR="00CC6B37" w:rsidRDefault="00CC6B37" w:rsidP="006A59D4">
      <w:pPr>
        <w:spacing w:after="0" w:line="360" w:lineRule="auto"/>
        <w:jc w:val="both"/>
        <w:rPr>
          <w:rFonts w:ascii="Times New Roman" w:hAnsi="Times New Roman"/>
          <w:sz w:val="24"/>
          <w:szCs w:val="24"/>
        </w:rPr>
      </w:pPr>
      <w:r>
        <w:rPr>
          <w:rFonts w:ascii="Times New Roman" w:hAnsi="Times New Roman"/>
          <w:sz w:val="24"/>
          <w:szCs w:val="24"/>
        </w:rPr>
        <w:t>La</w:t>
      </w:r>
      <w:r w:rsidR="00ED03FC">
        <w:rPr>
          <w:rFonts w:ascii="Times New Roman" w:hAnsi="Times New Roman"/>
          <w:sz w:val="24"/>
          <w:szCs w:val="24"/>
        </w:rPr>
        <w:t xml:space="preserve"> molteplicità e complessità delle cause del problema</w:t>
      </w:r>
      <w:r>
        <w:rPr>
          <w:rFonts w:ascii="Times New Roman" w:hAnsi="Times New Roman"/>
          <w:sz w:val="24"/>
          <w:szCs w:val="24"/>
        </w:rPr>
        <w:t xml:space="preserve"> è ben chiara al PQA ed indubbiamente esse richiedono</w:t>
      </w:r>
      <w:r w:rsidR="00ED03FC">
        <w:rPr>
          <w:rFonts w:ascii="Times New Roman" w:hAnsi="Times New Roman"/>
          <w:sz w:val="24"/>
          <w:szCs w:val="24"/>
        </w:rPr>
        <w:t xml:space="preserve"> l’attivazione di iniziative </w:t>
      </w:r>
      <w:r w:rsidR="00773B76">
        <w:rPr>
          <w:rFonts w:ascii="Times New Roman" w:hAnsi="Times New Roman"/>
          <w:sz w:val="24"/>
          <w:szCs w:val="24"/>
        </w:rPr>
        <w:t>su più fronti</w:t>
      </w:r>
      <w:r>
        <w:rPr>
          <w:rFonts w:ascii="Times New Roman" w:hAnsi="Times New Roman"/>
          <w:sz w:val="24"/>
          <w:szCs w:val="24"/>
        </w:rPr>
        <w:t>:</w:t>
      </w:r>
    </w:p>
    <w:p w:rsidR="00CC6B37" w:rsidRDefault="00ED03FC" w:rsidP="006A59D4">
      <w:pPr>
        <w:spacing w:after="0" w:line="360" w:lineRule="auto"/>
        <w:jc w:val="both"/>
        <w:rPr>
          <w:rFonts w:ascii="Times New Roman" w:hAnsi="Times New Roman"/>
          <w:sz w:val="24"/>
          <w:szCs w:val="24"/>
        </w:rPr>
      </w:pPr>
      <w:r>
        <w:rPr>
          <w:rFonts w:ascii="Times New Roman" w:hAnsi="Times New Roman"/>
          <w:sz w:val="24"/>
          <w:szCs w:val="24"/>
        </w:rPr>
        <w:t xml:space="preserve"> </w:t>
      </w:r>
      <w:r w:rsidR="00773B76">
        <w:rPr>
          <w:rFonts w:ascii="Times New Roman" w:hAnsi="Times New Roman"/>
          <w:sz w:val="24"/>
          <w:szCs w:val="24"/>
        </w:rPr>
        <w:t>(a)</w:t>
      </w:r>
      <w:r w:rsidR="00CC6B37">
        <w:rPr>
          <w:rFonts w:ascii="Times New Roman" w:hAnsi="Times New Roman"/>
          <w:sz w:val="24"/>
          <w:szCs w:val="24"/>
        </w:rPr>
        <w:t xml:space="preserve"> Sul fronte</w:t>
      </w:r>
      <w:r w:rsidR="00773B76">
        <w:rPr>
          <w:rFonts w:ascii="Times New Roman" w:hAnsi="Times New Roman"/>
          <w:sz w:val="24"/>
          <w:szCs w:val="24"/>
        </w:rPr>
        <w:t xml:space="preserve"> </w:t>
      </w:r>
      <w:r>
        <w:rPr>
          <w:rFonts w:ascii="Times New Roman" w:hAnsi="Times New Roman"/>
          <w:sz w:val="24"/>
          <w:szCs w:val="24"/>
        </w:rPr>
        <w:t>dell’organizzazione strutturale del sistema for</w:t>
      </w:r>
      <w:r w:rsidR="00535EA7">
        <w:rPr>
          <w:rFonts w:ascii="Times New Roman" w:hAnsi="Times New Roman"/>
          <w:sz w:val="24"/>
          <w:szCs w:val="24"/>
        </w:rPr>
        <w:t>mativo di ateneo, ossia di tutto l’insieme</w:t>
      </w:r>
      <w:r>
        <w:rPr>
          <w:rFonts w:ascii="Times New Roman" w:hAnsi="Times New Roman"/>
          <w:sz w:val="24"/>
          <w:szCs w:val="24"/>
        </w:rPr>
        <w:t xml:space="preserve"> di interazioni tra lo studente e </w:t>
      </w:r>
      <w:r w:rsidR="00773B76">
        <w:rPr>
          <w:rFonts w:ascii="Times New Roman" w:hAnsi="Times New Roman"/>
          <w:sz w:val="24"/>
          <w:szCs w:val="24"/>
        </w:rPr>
        <w:t xml:space="preserve">l’ateneo: interazione con il corpo docente, con i servizi amministrativi, con i servizi didattici, </w:t>
      </w:r>
      <w:r w:rsidR="00CC6B37">
        <w:rPr>
          <w:rFonts w:ascii="Times New Roman" w:hAnsi="Times New Roman"/>
          <w:sz w:val="24"/>
          <w:szCs w:val="24"/>
        </w:rPr>
        <w:t xml:space="preserve">l’accesso alle </w:t>
      </w:r>
      <w:r w:rsidR="00773B76">
        <w:rPr>
          <w:rFonts w:ascii="Times New Roman" w:hAnsi="Times New Roman"/>
          <w:sz w:val="24"/>
          <w:szCs w:val="24"/>
        </w:rPr>
        <w:t>informazion</w:t>
      </w:r>
      <w:r w:rsidR="00CC6B37">
        <w:rPr>
          <w:rFonts w:ascii="Times New Roman" w:hAnsi="Times New Roman"/>
          <w:sz w:val="24"/>
          <w:szCs w:val="24"/>
        </w:rPr>
        <w:t>i</w:t>
      </w:r>
      <w:r w:rsidR="00773B76">
        <w:rPr>
          <w:rFonts w:ascii="Times New Roman" w:hAnsi="Times New Roman"/>
          <w:sz w:val="24"/>
          <w:szCs w:val="24"/>
        </w:rPr>
        <w:t xml:space="preserve">, </w:t>
      </w:r>
      <w:r w:rsidR="00CC6B37">
        <w:rPr>
          <w:rFonts w:ascii="Times New Roman" w:hAnsi="Times New Roman"/>
          <w:sz w:val="24"/>
          <w:szCs w:val="24"/>
        </w:rPr>
        <w:t>al</w:t>
      </w:r>
      <w:r w:rsidR="00773B76">
        <w:rPr>
          <w:rFonts w:ascii="Times New Roman" w:hAnsi="Times New Roman"/>
          <w:sz w:val="24"/>
          <w:szCs w:val="24"/>
        </w:rPr>
        <w:t xml:space="preserve"> patrimonio didattico e culturale di ateneo, ecc. </w:t>
      </w:r>
    </w:p>
    <w:p w:rsidR="00CC6B37" w:rsidRDefault="00773B76" w:rsidP="006A59D4">
      <w:pPr>
        <w:spacing w:after="0" w:line="360" w:lineRule="auto"/>
        <w:jc w:val="both"/>
        <w:rPr>
          <w:rFonts w:ascii="Times New Roman" w:hAnsi="Times New Roman"/>
          <w:sz w:val="24"/>
          <w:szCs w:val="24"/>
        </w:rPr>
      </w:pPr>
      <w:r>
        <w:rPr>
          <w:rFonts w:ascii="Times New Roman" w:hAnsi="Times New Roman"/>
          <w:sz w:val="24"/>
          <w:szCs w:val="24"/>
        </w:rPr>
        <w:t xml:space="preserve"> (b)</w:t>
      </w:r>
      <w:r w:rsidR="00CC6B37">
        <w:rPr>
          <w:rFonts w:ascii="Times New Roman" w:hAnsi="Times New Roman"/>
          <w:sz w:val="24"/>
          <w:szCs w:val="24"/>
        </w:rPr>
        <w:t xml:space="preserve"> Al di là dell’insegnamento frontale, sul fronte</w:t>
      </w:r>
      <w:r>
        <w:rPr>
          <w:rFonts w:ascii="Times New Roman" w:hAnsi="Times New Roman"/>
          <w:sz w:val="24"/>
          <w:szCs w:val="24"/>
        </w:rPr>
        <w:t xml:space="preserve"> dell’</w:t>
      </w:r>
      <w:r w:rsidR="00535EA7">
        <w:rPr>
          <w:rFonts w:ascii="Times New Roman" w:hAnsi="Times New Roman"/>
          <w:sz w:val="24"/>
          <w:szCs w:val="24"/>
        </w:rPr>
        <w:t>accompagnamento dello studente</w:t>
      </w:r>
      <w:r>
        <w:rPr>
          <w:rFonts w:ascii="Times New Roman" w:hAnsi="Times New Roman"/>
          <w:sz w:val="24"/>
          <w:szCs w:val="24"/>
        </w:rPr>
        <w:t>, sia all’ingresso, sia durante gli studi, sia all’uscita, verso il mondo del lavoro.</w:t>
      </w:r>
    </w:p>
    <w:p w:rsidR="00925CC7" w:rsidRDefault="00773B76" w:rsidP="006A59D4">
      <w:pPr>
        <w:spacing w:after="0" w:line="360" w:lineRule="auto"/>
        <w:jc w:val="both"/>
        <w:rPr>
          <w:rFonts w:ascii="Times New Roman" w:hAnsi="Times New Roman"/>
          <w:sz w:val="24"/>
          <w:szCs w:val="24"/>
        </w:rPr>
      </w:pPr>
      <w:r>
        <w:rPr>
          <w:rFonts w:ascii="Times New Roman" w:hAnsi="Times New Roman"/>
          <w:sz w:val="24"/>
          <w:szCs w:val="24"/>
        </w:rPr>
        <w:t>(c)</w:t>
      </w:r>
      <w:r w:rsidR="00CC6B37">
        <w:rPr>
          <w:rFonts w:ascii="Times New Roman" w:hAnsi="Times New Roman"/>
          <w:sz w:val="24"/>
          <w:szCs w:val="24"/>
        </w:rPr>
        <w:t xml:space="preserve"> Sul fronte</w:t>
      </w:r>
      <w:r>
        <w:rPr>
          <w:rFonts w:ascii="Times New Roman" w:hAnsi="Times New Roman"/>
          <w:sz w:val="24"/>
          <w:szCs w:val="24"/>
        </w:rPr>
        <w:t xml:space="preserve"> dell’architettura del piano di formazione, che richiede una profonda consapevolezza dei programm</w:t>
      </w:r>
      <w:r w:rsidR="00AA39ED">
        <w:rPr>
          <w:rFonts w:ascii="Times New Roman" w:hAnsi="Times New Roman"/>
          <w:sz w:val="24"/>
          <w:szCs w:val="24"/>
        </w:rPr>
        <w:t xml:space="preserve">i degli insegnamenti erogati, </w:t>
      </w:r>
      <w:r w:rsidR="00CC6B37">
        <w:rPr>
          <w:rFonts w:ascii="Times New Roman" w:hAnsi="Times New Roman"/>
          <w:sz w:val="24"/>
          <w:szCs w:val="24"/>
        </w:rPr>
        <w:t>del</w:t>
      </w:r>
      <w:r w:rsidR="00AA39ED">
        <w:rPr>
          <w:rFonts w:ascii="Times New Roman" w:hAnsi="Times New Roman"/>
          <w:sz w:val="24"/>
          <w:szCs w:val="24"/>
        </w:rPr>
        <w:t>l</w:t>
      </w:r>
      <w:r>
        <w:rPr>
          <w:rFonts w:ascii="Times New Roman" w:hAnsi="Times New Roman"/>
          <w:sz w:val="24"/>
          <w:szCs w:val="24"/>
        </w:rPr>
        <w:t xml:space="preserve">a loro sinergia e </w:t>
      </w:r>
      <w:r w:rsidR="00CC6B37">
        <w:rPr>
          <w:rFonts w:ascii="Times New Roman" w:hAnsi="Times New Roman"/>
          <w:sz w:val="24"/>
          <w:szCs w:val="24"/>
        </w:rPr>
        <w:t>del</w:t>
      </w:r>
      <w:r>
        <w:rPr>
          <w:rFonts w:ascii="Times New Roman" w:hAnsi="Times New Roman"/>
          <w:sz w:val="24"/>
          <w:szCs w:val="24"/>
        </w:rPr>
        <w:t>la loro coerenza con gli obiettivi formativi</w:t>
      </w:r>
      <w:r w:rsidR="00721495">
        <w:rPr>
          <w:rFonts w:ascii="Times New Roman" w:hAnsi="Times New Roman"/>
          <w:sz w:val="24"/>
          <w:szCs w:val="24"/>
        </w:rPr>
        <w:t xml:space="preserve"> del corso. </w:t>
      </w:r>
      <w:r w:rsidR="00AA39ED">
        <w:rPr>
          <w:rFonts w:ascii="Times New Roman" w:hAnsi="Times New Roman"/>
          <w:sz w:val="24"/>
          <w:szCs w:val="24"/>
        </w:rPr>
        <w:t>Il PQA ha scritto m</w:t>
      </w:r>
      <w:r w:rsidR="00721495">
        <w:rPr>
          <w:rFonts w:ascii="Times New Roman" w:hAnsi="Times New Roman"/>
          <w:sz w:val="24"/>
          <w:szCs w:val="24"/>
        </w:rPr>
        <w:t xml:space="preserve">olto in merito nei propri documenti, richiamando le attese dell’AVA e, dunque, del DM.47 </w:t>
      </w:r>
      <w:r w:rsidR="00AA39ED">
        <w:rPr>
          <w:rFonts w:ascii="Times New Roman" w:hAnsi="Times New Roman"/>
          <w:sz w:val="24"/>
          <w:szCs w:val="24"/>
        </w:rPr>
        <w:t xml:space="preserve">- </w:t>
      </w:r>
      <w:r w:rsidR="00721495">
        <w:rPr>
          <w:rFonts w:ascii="Times New Roman" w:hAnsi="Times New Roman"/>
          <w:sz w:val="24"/>
          <w:szCs w:val="24"/>
        </w:rPr>
        <w:t xml:space="preserve">2013. In più, il PQA ha da sempre insistito </w:t>
      </w:r>
      <w:r w:rsidR="00AA39ED">
        <w:rPr>
          <w:rFonts w:ascii="Times New Roman" w:hAnsi="Times New Roman"/>
          <w:sz w:val="24"/>
          <w:szCs w:val="24"/>
        </w:rPr>
        <w:t>(</w:t>
      </w:r>
      <w:r w:rsidR="00721495">
        <w:rPr>
          <w:rFonts w:ascii="Times New Roman" w:hAnsi="Times New Roman"/>
          <w:sz w:val="24"/>
          <w:szCs w:val="24"/>
        </w:rPr>
        <w:t xml:space="preserve">nei propri documenti di indirizzo ai Riesame, alle CPD, alle SUA </w:t>
      </w:r>
      <w:proofErr w:type="spellStart"/>
      <w:r w:rsidR="00721495">
        <w:rPr>
          <w:rFonts w:ascii="Times New Roman" w:hAnsi="Times New Roman"/>
          <w:sz w:val="24"/>
          <w:szCs w:val="24"/>
        </w:rPr>
        <w:t>CdS</w:t>
      </w:r>
      <w:proofErr w:type="spellEnd"/>
      <w:r w:rsidR="00AA39ED">
        <w:rPr>
          <w:rFonts w:ascii="Times New Roman" w:hAnsi="Times New Roman"/>
          <w:sz w:val="24"/>
          <w:szCs w:val="24"/>
        </w:rPr>
        <w:t>)</w:t>
      </w:r>
      <w:r w:rsidR="00721495">
        <w:rPr>
          <w:rFonts w:ascii="Times New Roman" w:hAnsi="Times New Roman"/>
          <w:sz w:val="24"/>
          <w:szCs w:val="24"/>
        </w:rPr>
        <w:t xml:space="preserve"> sull’importanza dell’interazione attiva e continua</w:t>
      </w:r>
      <w:r w:rsidR="000F2B5E">
        <w:rPr>
          <w:rFonts w:ascii="Times New Roman" w:hAnsi="Times New Roman"/>
          <w:sz w:val="24"/>
          <w:szCs w:val="24"/>
        </w:rPr>
        <w:t xml:space="preserve"> </w:t>
      </w:r>
      <w:r w:rsidR="00AA39ED">
        <w:rPr>
          <w:rFonts w:ascii="Times New Roman" w:hAnsi="Times New Roman"/>
          <w:sz w:val="24"/>
          <w:szCs w:val="24"/>
        </w:rPr>
        <w:t xml:space="preserve">dell’ateneo </w:t>
      </w:r>
      <w:r w:rsidR="00721495">
        <w:rPr>
          <w:rFonts w:ascii="Times New Roman" w:hAnsi="Times New Roman"/>
          <w:sz w:val="24"/>
          <w:szCs w:val="24"/>
        </w:rPr>
        <w:t xml:space="preserve">con il mondo del lavoro, </w:t>
      </w:r>
      <w:r w:rsidR="009F50D4">
        <w:rPr>
          <w:rFonts w:ascii="Times New Roman" w:hAnsi="Times New Roman"/>
          <w:sz w:val="24"/>
          <w:szCs w:val="24"/>
        </w:rPr>
        <w:t>da svolgersi sia a livello di D</w:t>
      </w:r>
      <w:r w:rsidR="000F2B5E">
        <w:rPr>
          <w:rFonts w:ascii="Times New Roman" w:hAnsi="Times New Roman"/>
          <w:sz w:val="24"/>
          <w:szCs w:val="24"/>
        </w:rPr>
        <w:t xml:space="preserve">ipartimento, sia istituzionale di ateneo, </w:t>
      </w:r>
      <w:r w:rsidR="00721495">
        <w:rPr>
          <w:rFonts w:ascii="Times New Roman" w:hAnsi="Times New Roman"/>
          <w:sz w:val="24"/>
          <w:szCs w:val="24"/>
        </w:rPr>
        <w:t xml:space="preserve">a garanzia della verifica della rispondenza dell’offerta formativa </w:t>
      </w:r>
      <w:r w:rsidR="000F2B5E">
        <w:rPr>
          <w:rFonts w:ascii="Times New Roman" w:hAnsi="Times New Roman"/>
          <w:sz w:val="24"/>
          <w:szCs w:val="24"/>
        </w:rPr>
        <w:t>al</w:t>
      </w:r>
      <w:r w:rsidR="00721495">
        <w:rPr>
          <w:rFonts w:ascii="Times New Roman" w:hAnsi="Times New Roman"/>
          <w:sz w:val="24"/>
          <w:szCs w:val="24"/>
        </w:rPr>
        <w:t xml:space="preserve">la domanda del mondo del lavoro, da vedersi a livello internazionale, stante la debolezza della domanda lavorativa attuale </w:t>
      </w:r>
      <w:r w:rsidR="00721495">
        <w:rPr>
          <w:rFonts w:ascii="Times New Roman" w:hAnsi="Times New Roman"/>
          <w:sz w:val="24"/>
          <w:szCs w:val="24"/>
        </w:rPr>
        <w:lastRenderedPageBreak/>
        <w:t>in Italia. La verifica dei contenuti della formazione, della loro adeguatezza alla domanda, delle risorse necessarie in seno al corpo docente per una adeguata erogazione</w:t>
      </w:r>
      <w:r w:rsidR="00AA39ED">
        <w:rPr>
          <w:rFonts w:ascii="Times New Roman" w:hAnsi="Times New Roman"/>
          <w:sz w:val="24"/>
          <w:szCs w:val="24"/>
        </w:rPr>
        <w:t xml:space="preserve"> dei contenuti</w:t>
      </w:r>
      <w:r w:rsidR="00721495">
        <w:rPr>
          <w:rFonts w:ascii="Times New Roman" w:hAnsi="Times New Roman"/>
          <w:sz w:val="24"/>
          <w:szCs w:val="24"/>
        </w:rPr>
        <w:t xml:space="preserve">, sono </w:t>
      </w:r>
      <w:r w:rsidR="00AA39ED">
        <w:rPr>
          <w:rFonts w:ascii="Times New Roman" w:hAnsi="Times New Roman"/>
          <w:sz w:val="24"/>
          <w:szCs w:val="24"/>
        </w:rPr>
        <w:t xml:space="preserve">le </w:t>
      </w:r>
      <w:r w:rsidR="00721495">
        <w:rPr>
          <w:rFonts w:ascii="Times New Roman" w:hAnsi="Times New Roman"/>
          <w:sz w:val="24"/>
          <w:szCs w:val="24"/>
        </w:rPr>
        <w:t xml:space="preserve">azioni previste </w:t>
      </w:r>
      <w:r w:rsidR="00AA39ED">
        <w:rPr>
          <w:rFonts w:ascii="Times New Roman" w:hAnsi="Times New Roman"/>
          <w:sz w:val="24"/>
          <w:szCs w:val="24"/>
        </w:rPr>
        <w:t xml:space="preserve">dall’AVA </w:t>
      </w:r>
      <w:r w:rsidR="00721495">
        <w:rPr>
          <w:rFonts w:ascii="Times New Roman" w:hAnsi="Times New Roman"/>
          <w:sz w:val="24"/>
          <w:szCs w:val="24"/>
        </w:rPr>
        <w:t>nell’ambito d</w:t>
      </w:r>
      <w:r w:rsidR="00AA39ED">
        <w:rPr>
          <w:rFonts w:ascii="Times New Roman" w:hAnsi="Times New Roman"/>
          <w:sz w:val="24"/>
          <w:szCs w:val="24"/>
        </w:rPr>
        <w:t>elle strategie dell’</w:t>
      </w:r>
      <w:r w:rsidR="00721495">
        <w:rPr>
          <w:rFonts w:ascii="Times New Roman" w:hAnsi="Times New Roman"/>
          <w:sz w:val="24"/>
          <w:szCs w:val="24"/>
        </w:rPr>
        <w:t>ateneo volt</w:t>
      </w:r>
      <w:r w:rsidR="00AA39ED">
        <w:rPr>
          <w:rFonts w:ascii="Times New Roman" w:hAnsi="Times New Roman"/>
          <w:sz w:val="24"/>
          <w:szCs w:val="24"/>
        </w:rPr>
        <w:t>e</w:t>
      </w:r>
      <w:r w:rsidR="00721495">
        <w:rPr>
          <w:rFonts w:ascii="Times New Roman" w:hAnsi="Times New Roman"/>
          <w:sz w:val="24"/>
          <w:szCs w:val="24"/>
        </w:rPr>
        <w:t xml:space="preserve"> a rendere efficace la formazione, </w:t>
      </w:r>
      <w:r w:rsidR="00AA39ED">
        <w:rPr>
          <w:rFonts w:ascii="Times New Roman" w:hAnsi="Times New Roman"/>
          <w:sz w:val="24"/>
          <w:szCs w:val="24"/>
        </w:rPr>
        <w:t>efficacia che poi si riflette ne</w:t>
      </w:r>
      <w:r w:rsidR="00721495">
        <w:rPr>
          <w:rFonts w:ascii="Times New Roman" w:hAnsi="Times New Roman"/>
          <w:sz w:val="24"/>
          <w:szCs w:val="24"/>
        </w:rPr>
        <w:t xml:space="preserve">l successo degli indicatori </w:t>
      </w:r>
      <w:r w:rsidR="00AA39ED">
        <w:rPr>
          <w:rFonts w:ascii="Times New Roman" w:hAnsi="Times New Roman"/>
          <w:sz w:val="24"/>
          <w:szCs w:val="24"/>
        </w:rPr>
        <w:t>della formazione</w:t>
      </w:r>
      <w:r w:rsidR="00721495">
        <w:rPr>
          <w:rFonts w:ascii="Times New Roman" w:hAnsi="Times New Roman"/>
          <w:sz w:val="24"/>
          <w:szCs w:val="24"/>
        </w:rPr>
        <w:t>. Queste azioni dovrebbero insed</w:t>
      </w:r>
      <w:r w:rsidR="009F50D4">
        <w:rPr>
          <w:rFonts w:ascii="Times New Roman" w:hAnsi="Times New Roman"/>
          <w:sz w:val="24"/>
          <w:szCs w:val="24"/>
        </w:rPr>
        <w:t>iarsi sia a livello dell’AQ di D</w:t>
      </w:r>
      <w:r w:rsidR="00721495">
        <w:rPr>
          <w:rFonts w:ascii="Times New Roman" w:hAnsi="Times New Roman"/>
          <w:sz w:val="24"/>
          <w:szCs w:val="24"/>
        </w:rPr>
        <w:t xml:space="preserve">ipartimento, sia </w:t>
      </w:r>
      <w:r w:rsidR="00AA39ED">
        <w:rPr>
          <w:rFonts w:ascii="Times New Roman" w:hAnsi="Times New Roman"/>
          <w:sz w:val="24"/>
          <w:szCs w:val="24"/>
        </w:rPr>
        <w:t xml:space="preserve">degli organi di governo </w:t>
      </w:r>
      <w:r w:rsidR="00721495">
        <w:rPr>
          <w:rFonts w:ascii="Times New Roman" w:hAnsi="Times New Roman"/>
          <w:sz w:val="24"/>
          <w:szCs w:val="24"/>
        </w:rPr>
        <w:t>dell’ateneo</w:t>
      </w:r>
      <w:r w:rsidR="00AA39ED">
        <w:rPr>
          <w:rFonts w:ascii="Times New Roman" w:hAnsi="Times New Roman"/>
          <w:sz w:val="24"/>
          <w:szCs w:val="24"/>
        </w:rPr>
        <w:t>. Premessa dell’efficacia della formazione secondo l’AVA è la coerenza de</w:t>
      </w:r>
      <w:r w:rsidR="00C22DCA">
        <w:rPr>
          <w:rFonts w:ascii="Times New Roman" w:hAnsi="Times New Roman"/>
          <w:sz w:val="24"/>
          <w:szCs w:val="24"/>
        </w:rPr>
        <w:t xml:space="preserve">i </w:t>
      </w:r>
      <w:r w:rsidR="00AA39ED">
        <w:rPr>
          <w:rFonts w:ascii="Times New Roman" w:hAnsi="Times New Roman"/>
          <w:sz w:val="24"/>
          <w:szCs w:val="24"/>
        </w:rPr>
        <w:t xml:space="preserve">suoi </w:t>
      </w:r>
      <w:r w:rsidR="00C22DCA">
        <w:rPr>
          <w:rFonts w:ascii="Times New Roman" w:hAnsi="Times New Roman"/>
          <w:sz w:val="24"/>
          <w:szCs w:val="24"/>
        </w:rPr>
        <w:t xml:space="preserve">obiettivi e contenuti </w:t>
      </w:r>
      <w:r w:rsidR="00AA39ED">
        <w:rPr>
          <w:rFonts w:ascii="Times New Roman" w:hAnsi="Times New Roman"/>
          <w:sz w:val="24"/>
          <w:szCs w:val="24"/>
        </w:rPr>
        <w:t xml:space="preserve">(per ogni </w:t>
      </w:r>
      <w:proofErr w:type="spellStart"/>
      <w:r w:rsidR="00C22DCA">
        <w:rPr>
          <w:rFonts w:ascii="Times New Roman" w:hAnsi="Times New Roman"/>
          <w:sz w:val="24"/>
          <w:szCs w:val="24"/>
        </w:rPr>
        <w:t>CdS</w:t>
      </w:r>
      <w:proofErr w:type="spellEnd"/>
      <w:r w:rsidR="00AA39ED">
        <w:rPr>
          <w:rFonts w:ascii="Times New Roman" w:hAnsi="Times New Roman"/>
          <w:sz w:val="24"/>
          <w:szCs w:val="24"/>
        </w:rPr>
        <w:t>)</w:t>
      </w:r>
      <w:r w:rsidR="00C22DCA">
        <w:rPr>
          <w:rFonts w:ascii="Times New Roman" w:hAnsi="Times New Roman"/>
          <w:sz w:val="24"/>
          <w:szCs w:val="24"/>
        </w:rPr>
        <w:t xml:space="preserve"> con gli obiettivi di ateneo, espressi nel suo piano strategico pluriennale</w:t>
      </w:r>
      <w:r w:rsidR="00A87E99">
        <w:rPr>
          <w:rFonts w:ascii="Times New Roman" w:hAnsi="Times New Roman"/>
          <w:sz w:val="24"/>
          <w:szCs w:val="24"/>
        </w:rPr>
        <w:t>, e con le risorse</w:t>
      </w:r>
      <w:r w:rsidR="00C22DCA">
        <w:rPr>
          <w:rFonts w:ascii="Times New Roman" w:hAnsi="Times New Roman"/>
          <w:sz w:val="24"/>
          <w:szCs w:val="24"/>
        </w:rPr>
        <w:t xml:space="preserve">. </w:t>
      </w:r>
      <w:r w:rsidR="00A87E99">
        <w:rPr>
          <w:rFonts w:ascii="Times New Roman" w:hAnsi="Times New Roman"/>
          <w:sz w:val="24"/>
          <w:szCs w:val="24"/>
        </w:rPr>
        <w:t xml:space="preserve">Secondo l’AVA, infatti, l’efficacia della formazione deve fondarsi sulla disponibilità di </w:t>
      </w:r>
      <w:r w:rsidR="0041649B">
        <w:rPr>
          <w:rFonts w:ascii="Times New Roman" w:hAnsi="Times New Roman"/>
          <w:sz w:val="24"/>
          <w:szCs w:val="24"/>
        </w:rPr>
        <w:t xml:space="preserve">adeguate </w:t>
      </w:r>
      <w:r w:rsidR="00A87E99">
        <w:rPr>
          <w:rFonts w:ascii="Times New Roman" w:hAnsi="Times New Roman"/>
          <w:sz w:val="24"/>
          <w:szCs w:val="24"/>
        </w:rPr>
        <w:t xml:space="preserve">risorse di docenza, da perseguirsi tramite </w:t>
      </w:r>
      <w:r w:rsidR="00535EA7">
        <w:rPr>
          <w:rFonts w:ascii="Times New Roman" w:hAnsi="Times New Roman"/>
          <w:sz w:val="24"/>
          <w:szCs w:val="24"/>
        </w:rPr>
        <w:t xml:space="preserve">una opportuna </w:t>
      </w:r>
      <w:r w:rsidR="00C22DCA">
        <w:rPr>
          <w:rFonts w:ascii="Times New Roman" w:hAnsi="Times New Roman"/>
          <w:sz w:val="24"/>
          <w:szCs w:val="24"/>
        </w:rPr>
        <w:t>programmazione.</w:t>
      </w:r>
    </w:p>
    <w:p w:rsidR="00A87E99" w:rsidRDefault="001F66B4" w:rsidP="00B91475">
      <w:pPr>
        <w:spacing w:after="0" w:line="360" w:lineRule="auto"/>
        <w:jc w:val="both"/>
        <w:rPr>
          <w:rFonts w:ascii="Times New Roman" w:hAnsi="Times New Roman"/>
          <w:sz w:val="24"/>
          <w:szCs w:val="24"/>
        </w:rPr>
      </w:pPr>
      <w:r>
        <w:rPr>
          <w:rFonts w:ascii="Times New Roman" w:hAnsi="Times New Roman"/>
          <w:sz w:val="24"/>
          <w:szCs w:val="24"/>
        </w:rPr>
        <w:t xml:space="preserve">Nell’ultimo anno POLIBA ha messo in atto molteplici azioni relative al fronte (a) dianzi citato. Tra queste, ha attivato un corposo progetto di </w:t>
      </w:r>
      <w:proofErr w:type="spellStart"/>
      <w:r>
        <w:rPr>
          <w:rFonts w:ascii="Times New Roman" w:hAnsi="Times New Roman"/>
          <w:sz w:val="24"/>
          <w:szCs w:val="24"/>
        </w:rPr>
        <w:t>dematerializzazione</w:t>
      </w:r>
      <w:proofErr w:type="spellEnd"/>
      <w:r w:rsidR="000F2B5E" w:rsidRPr="000F2B5E">
        <w:rPr>
          <w:rFonts w:ascii="Times New Roman" w:hAnsi="Times New Roman"/>
          <w:sz w:val="24"/>
          <w:szCs w:val="24"/>
        </w:rPr>
        <w:t xml:space="preserve"> </w:t>
      </w:r>
      <w:r w:rsidR="000F2B5E">
        <w:rPr>
          <w:rFonts w:ascii="Times New Roman" w:hAnsi="Times New Roman"/>
          <w:sz w:val="24"/>
          <w:szCs w:val="24"/>
        </w:rPr>
        <w:t>dei servizi</w:t>
      </w:r>
      <w:r>
        <w:rPr>
          <w:rFonts w:ascii="Times New Roman" w:hAnsi="Times New Roman"/>
          <w:sz w:val="24"/>
          <w:szCs w:val="24"/>
        </w:rPr>
        <w:t>, DEPASAS</w:t>
      </w:r>
      <w:r w:rsidR="000F2B5E">
        <w:rPr>
          <w:rFonts w:ascii="Times New Roman" w:hAnsi="Times New Roman"/>
          <w:sz w:val="24"/>
          <w:szCs w:val="24"/>
        </w:rPr>
        <w:t xml:space="preserve"> </w:t>
      </w:r>
      <w:proofErr w:type="spellStart"/>
      <w:r w:rsidR="000D08DA" w:rsidRPr="000D08DA">
        <w:rPr>
          <w:rFonts w:ascii="Times New Roman" w:hAnsi="Times New Roman"/>
          <w:i/>
          <w:sz w:val="24"/>
          <w:szCs w:val="24"/>
        </w:rPr>
        <w:t>Dematerializzazione</w:t>
      </w:r>
      <w:proofErr w:type="spellEnd"/>
      <w:r w:rsidR="000D08DA" w:rsidRPr="000D08DA">
        <w:rPr>
          <w:rFonts w:ascii="Times New Roman" w:hAnsi="Times New Roman"/>
          <w:i/>
          <w:sz w:val="24"/>
          <w:szCs w:val="24"/>
        </w:rPr>
        <w:t xml:space="preserve"> dei processi Amministrativi e Servizi allo Studente</w:t>
      </w:r>
      <w:r w:rsidR="000D08DA">
        <w:rPr>
          <w:rFonts w:ascii="Times New Roman" w:hAnsi="Times New Roman"/>
          <w:sz w:val="24"/>
          <w:szCs w:val="24"/>
        </w:rPr>
        <w:t xml:space="preserve"> </w:t>
      </w:r>
      <w:r w:rsidR="00B91475">
        <w:rPr>
          <w:rFonts w:ascii="Times New Roman" w:hAnsi="Times New Roman"/>
          <w:sz w:val="24"/>
          <w:szCs w:val="24"/>
        </w:rPr>
        <w:t>(curato dal delegato del Rettore Prof. Ruta)</w:t>
      </w:r>
      <w:r>
        <w:rPr>
          <w:rFonts w:ascii="Times New Roman" w:hAnsi="Times New Roman"/>
          <w:sz w:val="24"/>
          <w:szCs w:val="24"/>
        </w:rPr>
        <w:t>, sviluppato in seno alla CPS di ateneo e finanziato dal MIUR a fronte dei valori raggiunti dagli indicatori del progetto</w:t>
      </w:r>
      <w:r w:rsidR="00A87E99">
        <w:rPr>
          <w:rFonts w:ascii="Times New Roman" w:hAnsi="Times New Roman"/>
          <w:sz w:val="24"/>
          <w:szCs w:val="24"/>
        </w:rPr>
        <w:t xml:space="preserve"> durante il suo sviluppo</w:t>
      </w:r>
      <w:r>
        <w:rPr>
          <w:rFonts w:ascii="Times New Roman" w:hAnsi="Times New Roman"/>
          <w:sz w:val="24"/>
          <w:szCs w:val="24"/>
        </w:rPr>
        <w:t xml:space="preserve">. </w:t>
      </w:r>
      <w:r w:rsidRPr="00A36407">
        <w:rPr>
          <w:rFonts w:ascii="Times New Roman" w:hAnsi="Times New Roman"/>
          <w:sz w:val="24"/>
          <w:szCs w:val="24"/>
        </w:rPr>
        <w:t xml:space="preserve">Si allega il progetto ed una breve relazione circa le azioni di </w:t>
      </w:r>
      <w:proofErr w:type="spellStart"/>
      <w:r w:rsidRPr="00A36407">
        <w:rPr>
          <w:rFonts w:ascii="Times New Roman" w:hAnsi="Times New Roman"/>
          <w:sz w:val="24"/>
          <w:szCs w:val="24"/>
        </w:rPr>
        <w:t>dematerializzazione</w:t>
      </w:r>
      <w:proofErr w:type="spellEnd"/>
      <w:r w:rsidRPr="00A36407">
        <w:rPr>
          <w:rFonts w:ascii="Times New Roman" w:hAnsi="Times New Roman"/>
          <w:sz w:val="24"/>
          <w:szCs w:val="24"/>
        </w:rPr>
        <w:t xml:space="preserve"> ad oggi compiute</w:t>
      </w:r>
      <w:r w:rsidR="0003402D">
        <w:rPr>
          <w:rFonts w:ascii="Times New Roman" w:hAnsi="Times New Roman"/>
          <w:sz w:val="24"/>
          <w:szCs w:val="24"/>
        </w:rPr>
        <w:t xml:space="preserve"> </w:t>
      </w:r>
      <w:r w:rsidR="0003402D" w:rsidRPr="00041FD0">
        <w:rPr>
          <w:rFonts w:ascii="Times New Roman" w:hAnsi="Times New Roman"/>
          <w:b/>
          <w:sz w:val="24"/>
          <w:szCs w:val="24"/>
        </w:rPr>
        <w:t>(Allegato n. 4)</w:t>
      </w:r>
      <w:r w:rsidRPr="00041FD0">
        <w:rPr>
          <w:rFonts w:ascii="Times New Roman" w:hAnsi="Times New Roman"/>
          <w:b/>
          <w:sz w:val="24"/>
          <w:szCs w:val="24"/>
        </w:rPr>
        <w:t>.</w:t>
      </w:r>
      <w:r>
        <w:rPr>
          <w:rFonts w:ascii="Times New Roman" w:hAnsi="Times New Roman"/>
          <w:sz w:val="24"/>
          <w:szCs w:val="24"/>
        </w:rPr>
        <w:t xml:space="preserve"> Coerente con il progetto DEPASAS </w:t>
      </w:r>
      <w:r w:rsidR="00B91475">
        <w:rPr>
          <w:rFonts w:ascii="Times New Roman" w:hAnsi="Times New Roman"/>
          <w:sz w:val="24"/>
          <w:szCs w:val="24"/>
        </w:rPr>
        <w:t xml:space="preserve">e cruciale per il suo successo </w:t>
      </w:r>
      <w:r>
        <w:rPr>
          <w:rFonts w:ascii="Times New Roman" w:hAnsi="Times New Roman"/>
          <w:sz w:val="24"/>
          <w:szCs w:val="24"/>
        </w:rPr>
        <w:t xml:space="preserve">è </w:t>
      </w:r>
      <w:r w:rsidR="0041649B">
        <w:rPr>
          <w:rFonts w:ascii="Times New Roman" w:hAnsi="Times New Roman"/>
          <w:sz w:val="24"/>
          <w:szCs w:val="24"/>
        </w:rPr>
        <w:t xml:space="preserve">stata </w:t>
      </w:r>
      <w:r>
        <w:rPr>
          <w:rFonts w:ascii="Times New Roman" w:hAnsi="Times New Roman"/>
          <w:sz w:val="24"/>
          <w:szCs w:val="24"/>
        </w:rPr>
        <w:t xml:space="preserve">la centralizzazione </w:t>
      </w:r>
      <w:r w:rsidR="00B91475">
        <w:rPr>
          <w:rFonts w:ascii="Times New Roman" w:hAnsi="Times New Roman"/>
          <w:sz w:val="24"/>
          <w:szCs w:val="24"/>
        </w:rPr>
        <w:t xml:space="preserve">in ESSE3 sia dei verbali di esame, perseguita ad oggi </w:t>
      </w:r>
      <w:r w:rsidR="00006D06">
        <w:rPr>
          <w:rFonts w:ascii="Times New Roman" w:hAnsi="Times New Roman"/>
          <w:sz w:val="24"/>
          <w:szCs w:val="24"/>
        </w:rPr>
        <w:t>per più del</w:t>
      </w:r>
      <w:r w:rsidR="00B91475">
        <w:rPr>
          <w:rFonts w:ascii="Times New Roman" w:hAnsi="Times New Roman"/>
          <w:sz w:val="24"/>
          <w:szCs w:val="24"/>
        </w:rPr>
        <w:t xml:space="preserve"> </w:t>
      </w:r>
      <w:r w:rsidR="00B91475" w:rsidRPr="00A36407">
        <w:rPr>
          <w:rFonts w:ascii="Times New Roman" w:hAnsi="Times New Roman"/>
          <w:sz w:val="24"/>
          <w:szCs w:val="24"/>
        </w:rPr>
        <w:t>90%</w:t>
      </w:r>
      <w:r w:rsidR="00B91475">
        <w:rPr>
          <w:rFonts w:ascii="Times New Roman" w:hAnsi="Times New Roman"/>
          <w:sz w:val="24"/>
          <w:szCs w:val="24"/>
        </w:rPr>
        <w:t xml:space="preserve">, sia di tutte le informazioni </w:t>
      </w:r>
      <w:r w:rsidR="0041649B">
        <w:rPr>
          <w:rFonts w:ascii="Times New Roman" w:hAnsi="Times New Roman"/>
          <w:sz w:val="24"/>
          <w:szCs w:val="24"/>
        </w:rPr>
        <w:t xml:space="preserve">relative alle attività di </w:t>
      </w:r>
      <w:r w:rsidR="00B91475">
        <w:rPr>
          <w:rFonts w:ascii="Times New Roman" w:hAnsi="Times New Roman"/>
          <w:sz w:val="24"/>
          <w:szCs w:val="24"/>
        </w:rPr>
        <w:t xml:space="preserve">docenza, a cura dei singoli docenti. </w:t>
      </w:r>
      <w:r w:rsidR="00B91475" w:rsidRPr="006A59D4">
        <w:rPr>
          <w:rFonts w:ascii="Times New Roman" w:hAnsi="Times New Roman"/>
          <w:sz w:val="24"/>
          <w:szCs w:val="24"/>
        </w:rPr>
        <w:t xml:space="preserve">L’imputazione in ESSE3 dei dati relativi al proprio insegnamento da parte di ogni docente di </w:t>
      </w:r>
      <w:proofErr w:type="spellStart"/>
      <w:r w:rsidR="00B91475" w:rsidRPr="006A59D4">
        <w:rPr>
          <w:rFonts w:ascii="Times New Roman" w:hAnsi="Times New Roman"/>
          <w:sz w:val="24"/>
          <w:szCs w:val="24"/>
        </w:rPr>
        <w:t>PoliBA</w:t>
      </w:r>
      <w:proofErr w:type="spellEnd"/>
      <w:r w:rsidR="00B91475" w:rsidRPr="006A59D4">
        <w:rPr>
          <w:rFonts w:ascii="Times New Roman" w:hAnsi="Times New Roman"/>
          <w:sz w:val="24"/>
          <w:szCs w:val="24"/>
        </w:rPr>
        <w:t xml:space="preserve"> è </w:t>
      </w:r>
      <w:r w:rsidR="00B91475">
        <w:rPr>
          <w:rFonts w:ascii="Times New Roman" w:hAnsi="Times New Roman"/>
          <w:sz w:val="24"/>
          <w:szCs w:val="24"/>
        </w:rPr>
        <w:t xml:space="preserve">invece </w:t>
      </w:r>
      <w:r w:rsidR="00031F25" w:rsidRPr="006A59D4">
        <w:rPr>
          <w:rFonts w:ascii="Times New Roman" w:hAnsi="Times New Roman"/>
          <w:sz w:val="24"/>
          <w:szCs w:val="24"/>
        </w:rPr>
        <w:t>tutt’oggi</w:t>
      </w:r>
      <w:r w:rsidR="00B91475" w:rsidRPr="006A59D4">
        <w:rPr>
          <w:rFonts w:ascii="Times New Roman" w:hAnsi="Times New Roman"/>
          <w:sz w:val="24"/>
          <w:szCs w:val="24"/>
        </w:rPr>
        <w:t xml:space="preserve"> </w:t>
      </w:r>
      <w:r w:rsidR="00B91475">
        <w:rPr>
          <w:rFonts w:ascii="Times New Roman" w:hAnsi="Times New Roman"/>
          <w:sz w:val="24"/>
          <w:szCs w:val="24"/>
        </w:rPr>
        <w:t xml:space="preserve">piuttosto </w:t>
      </w:r>
      <w:r w:rsidR="00B91475" w:rsidRPr="006A59D4">
        <w:rPr>
          <w:rFonts w:ascii="Times New Roman" w:hAnsi="Times New Roman"/>
          <w:sz w:val="24"/>
          <w:szCs w:val="24"/>
        </w:rPr>
        <w:t xml:space="preserve">incompleta. </w:t>
      </w:r>
      <w:r w:rsidR="00B91475">
        <w:rPr>
          <w:rFonts w:ascii="Times New Roman" w:hAnsi="Times New Roman"/>
          <w:sz w:val="24"/>
          <w:szCs w:val="24"/>
        </w:rPr>
        <w:t xml:space="preserve">Il </w:t>
      </w:r>
      <w:r w:rsidR="00B91475" w:rsidRPr="006A59D4">
        <w:rPr>
          <w:rFonts w:ascii="Times New Roman" w:hAnsi="Times New Roman"/>
          <w:sz w:val="24"/>
          <w:szCs w:val="24"/>
        </w:rPr>
        <w:t xml:space="preserve">PQA </w:t>
      </w:r>
      <w:r w:rsidR="00B91475">
        <w:rPr>
          <w:rFonts w:ascii="Times New Roman" w:hAnsi="Times New Roman"/>
          <w:sz w:val="24"/>
          <w:szCs w:val="24"/>
        </w:rPr>
        <w:t>chiede al</w:t>
      </w:r>
      <w:r w:rsidR="00B91475" w:rsidRPr="006A59D4">
        <w:rPr>
          <w:rFonts w:ascii="Times New Roman" w:hAnsi="Times New Roman"/>
          <w:sz w:val="24"/>
          <w:szCs w:val="24"/>
        </w:rPr>
        <w:t xml:space="preserve">l’ateneo </w:t>
      </w:r>
      <w:r w:rsidR="00B91475">
        <w:rPr>
          <w:rFonts w:ascii="Times New Roman" w:hAnsi="Times New Roman"/>
          <w:sz w:val="24"/>
          <w:szCs w:val="24"/>
        </w:rPr>
        <w:t xml:space="preserve">una più intensa azione di </w:t>
      </w:r>
      <w:r w:rsidR="00B91475" w:rsidRPr="006A59D4">
        <w:rPr>
          <w:rFonts w:ascii="Times New Roman" w:hAnsi="Times New Roman"/>
          <w:sz w:val="24"/>
          <w:szCs w:val="24"/>
        </w:rPr>
        <w:t>indirizz</w:t>
      </w:r>
      <w:r w:rsidR="00B91475">
        <w:rPr>
          <w:rFonts w:ascii="Times New Roman" w:hAnsi="Times New Roman"/>
          <w:sz w:val="24"/>
          <w:szCs w:val="24"/>
        </w:rPr>
        <w:t>o</w:t>
      </w:r>
      <w:r w:rsidR="00B91475" w:rsidRPr="006A59D4">
        <w:rPr>
          <w:rFonts w:ascii="Times New Roman" w:hAnsi="Times New Roman"/>
          <w:sz w:val="24"/>
          <w:szCs w:val="24"/>
        </w:rPr>
        <w:t xml:space="preserve"> </w:t>
      </w:r>
      <w:r w:rsidR="00B91475">
        <w:rPr>
          <w:rFonts w:ascii="Times New Roman" w:hAnsi="Times New Roman"/>
          <w:sz w:val="24"/>
          <w:szCs w:val="24"/>
        </w:rPr>
        <w:t>de</w:t>
      </w:r>
      <w:r w:rsidR="00B91475" w:rsidRPr="006A59D4">
        <w:rPr>
          <w:rFonts w:ascii="Times New Roman" w:hAnsi="Times New Roman"/>
          <w:sz w:val="24"/>
          <w:szCs w:val="24"/>
        </w:rPr>
        <w:t>l corpo docente all’imputazione dei propri dati in ESSE3, poiché è noto al PQA come gran</w:t>
      </w:r>
      <w:r w:rsidR="00785E7F">
        <w:rPr>
          <w:rFonts w:ascii="Times New Roman" w:hAnsi="Times New Roman"/>
          <w:sz w:val="24"/>
          <w:szCs w:val="24"/>
        </w:rPr>
        <w:t xml:space="preserve"> parte del corpo docente non è</w:t>
      </w:r>
      <w:r w:rsidR="00B91475" w:rsidRPr="006A59D4">
        <w:rPr>
          <w:rFonts w:ascii="Times New Roman" w:hAnsi="Times New Roman"/>
          <w:sz w:val="24"/>
          <w:szCs w:val="24"/>
        </w:rPr>
        <w:t xml:space="preserve"> ancora conscio di questa urgenza. La completezza </w:t>
      </w:r>
      <w:r w:rsidR="0041649B">
        <w:rPr>
          <w:rFonts w:ascii="Times New Roman" w:hAnsi="Times New Roman"/>
          <w:sz w:val="24"/>
          <w:szCs w:val="24"/>
        </w:rPr>
        <w:t xml:space="preserve">del </w:t>
      </w:r>
      <w:r w:rsidR="0041649B" w:rsidRPr="006A59D4">
        <w:rPr>
          <w:rFonts w:ascii="Times New Roman" w:hAnsi="Times New Roman"/>
          <w:sz w:val="24"/>
          <w:szCs w:val="24"/>
        </w:rPr>
        <w:t>sit</w:t>
      </w:r>
      <w:r w:rsidR="0041649B">
        <w:rPr>
          <w:rFonts w:ascii="Times New Roman" w:hAnsi="Times New Roman"/>
          <w:sz w:val="24"/>
          <w:szCs w:val="24"/>
        </w:rPr>
        <w:t>o</w:t>
      </w:r>
      <w:r w:rsidR="0041649B" w:rsidRPr="006A59D4">
        <w:rPr>
          <w:rFonts w:ascii="Times New Roman" w:hAnsi="Times New Roman"/>
          <w:sz w:val="24"/>
          <w:szCs w:val="24"/>
        </w:rPr>
        <w:t xml:space="preserve"> </w:t>
      </w:r>
      <w:r w:rsidR="00B91475" w:rsidRPr="006A59D4">
        <w:rPr>
          <w:rFonts w:ascii="Times New Roman" w:hAnsi="Times New Roman"/>
          <w:sz w:val="24"/>
          <w:szCs w:val="24"/>
        </w:rPr>
        <w:t xml:space="preserve">docente in ESSE3, con programmi di insegnamento, commissioni di esame ecc., permetterebbe anche la </w:t>
      </w:r>
      <w:r w:rsidR="00785E7F">
        <w:rPr>
          <w:rFonts w:ascii="Times New Roman" w:hAnsi="Times New Roman"/>
          <w:sz w:val="24"/>
          <w:szCs w:val="24"/>
        </w:rPr>
        <w:t xml:space="preserve">visibilità del </w:t>
      </w:r>
      <w:proofErr w:type="spellStart"/>
      <w:r w:rsidR="00785E7F">
        <w:rPr>
          <w:rFonts w:ascii="Times New Roman" w:hAnsi="Times New Roman"/>
          <w:sz w:val="24"/>
          <w:szCs w:val="24"/>
        </w:rPr>
        <w:t>Course</w:t>
      </w:r>
      <w:proofErr w:type="spellEnd"/>
      <w:r w:rsidR="00785E7F">
        <w:rPr>
          <w:rFonts w:ascii="Times New Roman" w:hAnsi="Times New Roman"/>
          <w:sz w:val="24"/>
          <w:szCs w:val="24"/>
        </w:rPr>
        <w:t xml:space="preserve"> </w:t>
      </w:r>
      <w:proofErr w:type="spellStart"/>
      <w:r w:rsidR="00785E7F">
        <w:rPr>
          <w:rFonts w:ascii="Times New Roman" w:hAnsi="Times New Roman"/>
          <w:sz w:val="24"/>
          <w:szCs w:val="24"/>
        </w:rPr>
        <w:t>Catalogue</w:t>
      </w:r>
      <w:proofErr w:type="spellEnd"/>
      <w:r w:rsidR="00B91475" w:rsidRPr="006A59D4">
        <w:rPr>
          <w:rFonts w:ascii="Times New Roman" w:hAnsi="Times New Roman"/>
          <w:sz w:val="24"/>
          <w:szCs w:val="24"/>
        </w:rPr>
        <w:t xml:space="preserve"> e la generazione del Diploma </w:t>
      </w:r>
      <w:proofErr w:type="spellStart"/>
      <w:r w:rsidR="00B91475" w:rsidRPr="006A59D4">
        <w:rPr>
          <w:rFonts w:ascii="Times New Roman" w:hAnsi="Times New Roman"/>
          <w:sz w:val="24"/>
          <w:szCs w:val="24"/>
        </w:rPr>
        <w:t>Supplement</w:t>
      </w:r>
      <w:proofErr w:type="spellEnd"/>
      <w:r w:rsidR="00B91475" w:rsidRPr="006A59D4">
        <w:rPr>
          <w:rFonts w:ascii="Times New Roman" w:hAnsi="Times New Roman"/>
          <w:sz w:val="24"/>
          <w:szCs w:val="24"/>
        </w:rPr>
        <w:t>, necessari per un miglioramento della visibilità dell’ateneo in ambito internazionale.</w:t>
      </w:r>
      <w:r w:rsidR="00B91475">
        <w:rPr>
          <w:rFonts w:ascii="Times New Roman" w:hAnsi="Times New Roman"/>
          <w:sz w:val="24"/>
          <w:szCs w:val="24"/>
        </w:rPr>
        <w:t xml:space="preserve"> </w:t>
      </w:r>
    </w:p>
    <w:p w:rsidR="00B91475" w:rsidRPr="0003402D" w:rsidRDefault="00B91475" w:rsidP="00B91475">
      <w:pPr>
        <w:spacing w:after="0" w:line="360" w:lineRule="auto"/>
        <w:jc w:val="both"/>
        <w:rPr>
          <w:rFonts w:ascii="Times New Roman" w:hAnsi="Times New Roman"/>
          <w:b/>
          <w:sz w:val="24"/>
          <w:szCs w:val="24"/>
        </w:rPr>
      </w:pPr>
      <w:r>
        <w:rPr>
          <w:rFonts w:ascii="Times New Roman" w:hAnsi="Times New Roman"/>
          <w:sz w:val="24"/>
          <w:szCs w:val="24"/>
        </w:rPr>
        <w:t>Ancora sul fronte (a)</w:t>
      </w:r>
      <w:r w:rsidR="00785E7F">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PoliBA</w:t>
      </w:r>
      <w:proofErr w:type="spellEnd"/>
      <w:r>
        <w:rPr>
          <w:rFonts w:ascii="Times New Roman" w:hAnsi="Times New Roman"/>
          <w:sz w:val="24"/>
          <w:szCs w:val="24"/>
        </w:rPr>
        <w:t xml:space="preserve"> ha realizzato un nuovo portale e web </w:t>
      </w:r>
      <w:proofErr w:type="spellStart"/>
      <w:r>
        <w:rPr>
          <w:rFonts w:ascii="Times New Roman" w:hAnsi="Times New Roman"/>
          <w:sz w:val="24"/>
          <w:szCs w:val="24"/>
        </w:rPr>
        <w:t>page</w:t>
      </w:r>
      <w:proofErr w:type="spellEnd"/>
      <w:r>
        <w:rPr>
          <w:rFonts w:ascii="Times New Roman" w:hAnsi="Times New Roman"/>
          <w:sz w:val="24"/>
          <w:szCs w:val="24"/>
        </w:rPr>
        <w:t xml:space="preserve">. Appare cruciale un veloce </w:t>
      </w:r>
      <w:r w:rsidR="00785E7F">
        <w:rPr>
          <w:rFonts w:ascii="Times New Roman" w:hAnsi="Times New Roman"/>
          <w:sz w:val="24"/>
          <w:szCs w:val="24"/>
        </w:rPr>
        <w:t>caricamento dei contenuti ne</w:t>
      </w:r>
      <w:r>
        <w:rPr>
          <w:rFonts w:ascii="Times New Roman" w:hAnsi="Times New Roman"/>
          <w:sz w:val="24"/>
          <w:szCs w:val="24"/>
        </w:rPr>
        <w:t>i siti dei docenti nel</w:t>
      </w:r>
      <w:r w:rsidR="00785E7F">
        <w:rPr>
          <w:rFonts w:ascii="Times New Roman" w:hAnsi="Times New Roman"/>
          <w:sz w:val="24"/>
          <w:szCs w:val="24"/>
        </w:rPr>
        <w:t xml:space="preserve"> portale</w:t>
      </w:r>
      <w:r>
        <w:rPr>
          <w:rFonts w:ascii="Times New Roman" w:hAnsi="Times New Roman"/>
          <w:sz w:val="24"/>
          <w:szCs w:val="24"/>
        </w:rPr>
        <w:t xml:space="preserve">, oggi per la maggior parte vuoti. </w:t>
      </w:r>
      <w:r w:rsidRPr="006A59D4">
        <w:rPr>
          <w:rFonts w:ascii="Times New Roman" w:hAnsi="Times New Roman"/>
          <w:sz w:val="24"/>
          <w:szCs w:val="24"/>
        </w:rPr>
        <w:t xml:space="preserve">Circa la visibilità dei contenuti delle pagine docenti nel sito web </w:t>
      </w:r>
      <w:proofErr w:type="spellStart"/>
      <w:r w:rsidRPr="006A59D4">
        <w:rPr>
          <w:rFonts w:ascii="Times New Roman" w:hAnsi="Times New Roman"/>
          <w:sz w:val="24"/>
          <w:szCs w:val="24"/>
        </w:rPr>
        <w:t>PoliBA</w:t>
      </w:r>
      <w:proofErr w:type="spellEnd"/>
      <w:r w:rsidRPr="006A59D4">
        <w:rPr>
          <w:rFonts w:ascii="Times New Roman" w:hAnsi="Times New Roman"/>
          <w:sz w:val="24"/>
          <w:szCs w:val="24"/>
        </w:rPr>
        <w:t xml:space="preserve"> </w:t>
      </w:r>
      <w:r w:rsidR="00A87E99">
        <w:rPr>
          <w:rFonts w:ascii="Times New Roman" w:hAnsi="Times New Roman"/>
          <w:sz w:val="24"/>
          <w:szCs w:val="24"/>
        </w:rPr>
        <w:t>(</w:t>
      </w:r>
      <w:r w:rsidRPr="006A59D4">
        <w:rPr>
          <w:rFonts w:ascii="Times New Roman" w:hAnsi="Times New Roman"/>
          <w:sz w:val="24"/>
          <w:szCs w:val="24"/>
        </w:rPr>
        <w:t>curriculum del docente, corsi, programma del corso ecc.</w:t>
      </w:r>
      <w:r w:rsidR="00A87E99">
        <w:rPr>
          <w:rFonts w:ascii="Times New Roman" w:hAnsi="Times New Roman"/>
          <w:sz w:val="24"/>
          <w:szCs w:val="24"/>
        </w:rPr>
        <w:t>)</w:t>
      </w:r>
      <w:r w:rsidRPr="006A59D4">
        <w:rPr>
          <w:rFonts w:ascii="Times New Roman" w:hAnsi="Times New Roman"/>
          <w:sz w:val="24"/>
          <w:szCs w:val="24"/>
        </w:rPr>
        <w:t xml:space="preserve">, </w:t>
      </w:r>
      <w:r w:rsidR="00A87E99">
        <w:rPr>
          <w:rFonts w:ascii="Times New Roman" w:hAnsi="Times New Roman"/>
          <w:sz w:val="24"/>
          <w:szCs w:val="24"/>
        </w:rPr>
        <w:t xml:space="preserve">questi contenuti </w:t>
      </w:r>
      <w:r w:rsidRPr="006A59D4">
        <w:rPr>
          <w:rFonts w:ascii="Times New Roman" w:hAnsi="Times New Roman"/>
          <w:sz w:val="24"/>
          <w:szCs w:val="24"/>
        </w:rPr>
        <w:t xml:space="preserve">saranno automaticamente caricati sulla pagina web del docente nel momento in cui </w:t>
      </w:r>
      <w:r w:rsidR="00A87E99">
        <w:rPr>
          <w:rFonts w:ascii="Times New Roman" w:hAnsi="Times New Roman"/>
          <w:sz w:val="24"/>
          <w:szCs w:val="24"/>
        </w:rPr>
        <w:t xml:space="preserve">questi </w:t>
      </w:r>
      <w:r w:rsidRPr="006A59D4">
        <w:rPr>
          <w:rFonts w:ascii="Times New Roman" w:hAnsi="Times New Roman"/>
          <w:sz w:val="24"/>
          <w:szCs w:val="24"/>
        </w:rPr>
        <w:t xml:space="preserve">avrà dato assenso all’acquisizione del proprio curriculum dal sito CINECA, </w:t>
      </w:r>
      <w:r>
        <w:rPr>
          <w:rFonts w:ascii="Times New Roman" w:hAnsi="Times New Roman"/>
          <w:sz w:val="24"/>
          <w:szCs w:val="24"/>
        </w:rPr>
        <w:t>ed abbia</w:t>
      </w:r>
      <w:r w:rsidRPr="006A59D4">
        <w:rPr>
          <w:rFonts w:ascii="Times New Roman" w:hAnsi="Times New Roman"/>
          <w:sz w:val="24"/>
          <w:szCs w:val="24"/>
        </w:rPr>
        <w:t xml:space="preserve"> caricato i propri dati di docenza nel proprio sito ESSE3. Il PQA suggeri</w:t>
      </w:r>
      <w:r>
        <w:rPr>
          <w:rFonts w:ascii="Times New Roman" w:hAnsi="Times New Roman"/>
          <w:sz w:val="24"/>
          <w:szCs w:val="24"/>
        </w:rPr>
        <w:t>sce</w:t>
      </w:r>
      <w:r w:rsidRPr="006A59D4">
        <w:rPr>
          <w:rFonts w:ascii="Times New Roman" w:hAnsi="Times New Roman"/>
          <w:sz w:val="24"/>
          <w:szCs w:val="24"/>
        </w:rPr>
        <w:t xml:space="preserve"> </w:t>
      </w:r>
      <w:r>
        <w:rPr>
          <w:rFonts w:ascii="Times New Roman" w:hAnsi="Times New Roman"/>
          <w:sz w:val="24"/>
          <w:szCs w:val="24"/>
        </w:rPr>
        <w:t>a</w:t>
      </w:r>
      <w:r w:rsidRPr="006A59D4">
        <w:rPr>
          <w:rFonts w:ascii="Times New Roman" w:hAnsi="Times New Roman"/>
          <w:sz w:val="24"/>
          <w:szCs w:val="24"/>
        </w:rPr>
        <w:t xml:space="preserve">gli organi di ateneo </w:t>
      </w:r>
      <w:r>
        <w:rPr>
          <w:rFonts w:ascii="Times New Roman" w:hAnsi="Times New Roman"/>
          <w:sz w:val="24"/>
          <w:szCs w:val="24"/>
        </w:rPr>
        <w:t xml:space="preserve">di svolgere una intensa </w:t>
      </w:r>
      <w:r w:rsidRPr="006A59D4">
        <w:rPr>
          <w:rFonts w:ascii="Times New Roman" w:hAnsi="Times New Roman"/>
          <w:sz w:val="24"/>
          <w:szCs w:val="24"/>
        </w:rPr>
        <w:t xml:space="preserve">informazione </w:t>
      </w:r>
      <w:r>
        <w:rPr>
          <w:rFonts w:ascii="Times New Roman" w:hAnsi="Times New Roman"/>
          <w:sz w:val="24"/>
          <w:szCs w:val="24"/>
        </w:rPr>
        <w:t>verso il</w:t>
      </w:r>
      <w:r w:rsidRPr="006A59D4">
        <w:rPr>
          <w:rFonts w:ascii="Times New Roman" w:hAnsi="Times New Roman"/>
          <w:sz w:val="24"/>
          <w:szCs w:val="24"/>
        </w:rPr>
        <w:t xml:space="preserve"> corpo docente in merito a queste operazioni, non essendo ai più noto quale siano le strategie operative previste nella gestione del sito </w:t>
      </w:r>
      <w:r w:rsidRPr="006A59D4">
        <w:rPr>
          <w:rFonts w:ascii="Times New Roman" w:hAnsi="Times New Roman"/>
          <w:sz w:val="24"/>
          <w:szCs w:val="24"/>
        </w:rPr>
        <w:lastRenderedPageBreak/>
        <w:t xml:space="preserve">web. </w:t>
      </w:r>
      <w:r w:rsidR="00A84EAC" w:rsidRPr="00257AEF">
        <w:rPr>
          <w:rFonts w:ascii="Times New Roman" w:hAnsi="Times New Roman"/>
          <w:sz w:val="24"/>
          <w:szCs w:val="24"/>
        </w:rPr>
        <w:t>Si allega un breve resoconto dell’avanzamento dei lavori sul nuovo portale POLIBA</w:t>
      </w:r>
      <w:r w:rsidR="0003402D">
        <w:rPr>
          <w:rFonts w:ascii="Times New Roman" w:hAnsi="Times New Roman"/>
          <w:sz w:val="24"/>
          <w:szCs w:val="24"/>
        </w:rPr>
        <w:t xml:space="preserve"> </w:t>
      </w:r>
      <w:r w:rsidR="0003402D" w:rsidRPr="00041FD0">
        <w:rPr>
          <w:rFonts w:ascii="Times New Roman" w:hAnsi="Times New Roman"/>
          <w:b/>
          <w:sz w:val="24"/>
          <w:szCs w:val="24"/>
        </w:rPr>
        <w:t>(Allegato n- 5).</w:t>
      </w:r>
    </w:p>
    <w:p w:rsidR="000A0D5B" w:rsidRDefault="00A84EAC" w:rsidP="006A59D4">
      <w:pPr>
        <w:spacing w:after="0" w:line="360" w:lineRule="auto"/>
        <w:jc w:val="both"/>
        <w:rPr>
          <w:rFonts w:ascii="Times New Roman" w:hAnsi="Times New Roman"/>
          <w:sz w:val="24"/>
          <w:szCs w:val="24"/>
        </w:rPr>
      </w:pPr>
      <w:r>
        <w:rPr>
          <w:rFonts w:ascii="Times New Roman" w:hAnsi="Times New Roman"/>
          <w:sz w:val="24"/>
          <w:szCs w:val="24"/>
        </w:rPr>
        <w:t xml:space="preserve">Altra azione importante sul fronte (a), ed ancora di </w:t>
      </w:r>
      <w:proofErr w:type="spellStart"/>
      <w:r>
        <w:rPr>
          <w:rFonts w:ascii="Times New Roman" w:hAnsi="Times New Roman"/>
          <w:sz w:val="24"/>
          <w:szCs w:val="24"/>
        </w:rPr>
        <w:t>dematerializzazione</w:t>
      </w:r>
      <w:proofErr w:type="spellEnd"/>
      <w:r>
        <w:rPr>
          <w:rFonts w:ascii="Times New Roman" w:hAnsi="Times New Roman"/>
          <w:sz w:val="24"/>
          <w:szCs w:val="24"/>
        </w:rPr>
        <w:t xml:space="preserve"> dei processi, è stata l’attivazione de</w:t>
      </w:r>
      <w:r w:rsidR="008663F9" w:rsidRPr="006A59D4">
        <w:rPr>
          <w:rFonts w:ascii="Times New Roman" w:hAnsi="Times New Roman"/>
          <w:sz w:val="24"/>
          <w:szCs w:val="24"/>
        </w:rPr>
        <w:t>l monitoraggio on-l</w:t>
      </w:r>
      <w:r w:rsidR="003929FD">
        <w:rPr>
          <w:rFonts w:ascii="Times New Roman" w:hAnsi="Times New Roman"/>
          <w:sz w:val="24"/>
          <w:szCs w:val="24"/>
        </w:rPr>
        <w:t>ine dell’opinione degli studenti</w:t>
      </w:r>
      <w:r>
        <w:rPr>
          <w:rFonts w:ascii="Times New Roman" w:hAnsi="Times New Roman"/>
          <w:sz w:val="24"/>
          <w:szCs w:val="24"/>
        </w:rPr>
        <w:t xml:space="preserve">. Il PQA </w:t>
      </w:r>
      <w:r w:rsidR="009225F0">
        <w:rPr>
          <w:rFonts w:ascii="Times New Roman" w:hAnsi="Times New Roman"/>
          <w:sz w:val="24"/>
          <w:szCs w:val="24"/>
        </w:rPr>
        <w:t>ha</w:t>
      </w:r>
      <w:r w:rsidR="008663F9" w:rsidRPr="006A59D4">
        <w:rPr>
          <w:rFonts w:ascii="Times New Roman" w:hAnsi="Times New Roman"/>
          <w:sz w:val="24"/>
          <w:szCs w:val="24"/>
        </w:rPr>
        <w:t xml:space="preserve"> ricevuto e</w:t>
      </w:r>
      <w:r w:rsidR="009225F0">
        <w:rPr>
          <w:rFonts w:ascii="Times New Roman" w:hAnsi="Times New Roman"/>
          <w:sz w:val="24"/>
          <w:szCs w:val="24"/>
        </w:rPr>
        <w:t xml:space="preserve">d allega alla presente una breve </w:t>
      </w:r>
      <w:r w:rsidR="008663F9" w:rsidRPr="009225F0">
        <w:rPr>
          <w:rFonts w:ascii="Times New Roman" w:hAnsi="Times New Roman"/>
          <w:bCs/>
          <w:sz w:val="24"/>
          <w:szCs w:val="24"/>
        </w:rPr>
        <w:t xml:space="preserve">relazione </w:t>
      </w:r>
      <w:r w:rsidR="009225F0">
        <w:rPr>
          <w:rFonts w:ascii="Times New Roman" w:hAnsi="Times New Roman"/>
          <w:sz w:val="24"/>
          <w:szCs w:val="24"/>
        </w:rPr>
        <w:t>dello stadio esecutivo di tale monitoraggio e dei suoi risultati</w:t>
      </w:r>
      <w:r w:rsidR="0062232D">
        <w:rPr>
          <w:rFonts w:ascii="Times New Roman" w:hAnsi="Times New Roman"/>
          <w:sz w:val="24"/>
          <w:szCs w:val="24"/>
        </w:rPr>
        <w:t xml:space="preserve"> </w:t>
      </w:r>
      <w:r w:rsidR="0062232D" w:rsidRPr="00041FD0">
        <w:rPr>
          <w:rFonts w:ascii="Times New Roman" w:hAnsi="Times New Roman"/>
          <w:b/>
          <w:sz w:val="24"/>
          <w:szCs w:val="24"/>
        </w:rPr>
        <w:t>(Allegato n- 6)</w:t>
      </w:r>
      <w:r w:rsidR="008663F9" w:rsidRPr="00041FD0">
        <w:rPr>
          <w:rFonts w:ascii="Times New Roman" w:hAnsi="Times New Roman"/>
          <w:sz w:val="24"/>
          <w:szCs w:val="24"/>
        </w:rPr>
        <w:t>.</w:t>
      </w:r>
      <w:r w:rsidR="008663F9" w:rsidRPr="006A59D4">
        <w:rPr>
          <w:rFonts w:ascii="Times New Roman" w:hAnsi="Times New Roman"/>
          <w:sz w:val="24"/>
          <w:szCs w:val="24"/>
        </w:rPr>
        <w:t xml:space="preserve"> </w:t>
      </w:r>
      <w:r w:rsidR="008663F9" w:rsidRPr="000A0D5B">
        <w:rPr>
          <w:rFonts w:ascii="Times New Roman" w:hAnsi="Times New Roman"/>
          <w:sz w:val="24"/>
          <w:szCs w:val="24"/>
        </w:rPr>
        <w:t xml:space="preserve">Sono molteplici le azioni da svolgersi in sede </w:t>
      </w:r>
      <w:r w:rsidR="00C41AB6" w:rsidRPr="000A0D5B">
        <w:rPr>
          <w:rFonts w:ascii="Times New Roman" w:hAnsi="Times New Roman"/>
          <w:sz w:val="24"/>
          <w:szCs w:val="24"/>
        </w:rPr>
        <w:t xml:space="preserve">di Ateneo </w:t>
      </w:r>
      <w:r w:rsidR="008663F9" w:rsidRPr="000A0D5B">
        <w:rPr>
          <w:rFonts w:ascii="Times New Roman" w:hAnsi="Times New Roman"/>
          <w:sz w:val="24"/>
          <w:szCs w:val="24"/>
        </w:rPr>
        <w:t xml:space="preserve">e nell’ambito delle commissioni didattiche dipartimentali per migliorare l’efficienza di questo rilevamento, che oggi soffre di limiti </w:t>
      </w:r>
      <w:r w:rsidR="00BC527A" w:rsidRPr="000A0D5B">
        <w:rPr>
          <w:rFonts w:ascii="Times New Roman" w:hAnsi="Times New Roman"/>
          <w:sz w:val="24"/>
          <w:szCs w:val="24"/>
        </w:rPr>
        <w:t xml:space="preserve">a </w:t>
      </w:r>
      <w:r w:rsidR="008663F9" w:rsidRPr="000A0D5B">
        <w:rPr>
          <w:rFonts w:ascii="Times New Roman" w:hAnsi="Times New Roman"/>
          <w:sz w:val="24"/>
          <w:szCs w:val="24"/>
        </w:rPr>
        <w:t>causa</w:t>
      </w:r>
      <w:r w:rsidR="00BC527A" w:rsidRPr="000A0D5B">
        <w:rPr>
          <w:rFonts w:ascii="Times New Roman" w:hAnsi="Times New Roman"/>
          <w:sz w:val="24"/>
          <w:szCs w:val="24"/>
        </w:rPr>
        <w:t xml:space="preserve"> dell’assenza di una regolamentazione uniforme sia a </w:t>
      </w:r>
      <w:r w:rsidR="00C41AB6" w:rsidRPr="000A0D5B">
        <w:rPr>
          <w:rFonts w:ascii="Times New Roman" w:hAnsi="Times New Roman"/>
          <w:sz w:val="24"/>
          <w:szCs w:val="24"/>
        </w:rPr>
        <w:t xml:space="preserve">livello di corso di studio, (i regolamenti didattici dei </w:t>
      </w:r>
      <w:proofErr w:type="spellStart"/>
      <w:r w:rsidR="00C41AB6" w:rsidRPr="000A0D5B">
        <w:rPr>
          <w:rFonts w:ascii="Times New Roman" w:hAnsi="Times New Roman"/>
          <w:sz w:val="24"/>
          <w:szCs w:val="24"/>
        </w:rPr>
        <w:t>Cds</w:t>
      </w:r>
      <w:proofErr w:type="spellEnd"/>
      <w:r w:rsidR="00C41AB6" w:rsidRPr="000A0D5B">
        <w:rPr>
          <w:rFonts w:ascii="Times New Roman" w:hAnsi="Times New Roman"/>
          <w:sz w:val="24"/>
          <w:szCs w:val="24"/>
        </w:rPr>
        <w:t xml:space="preserve"> sono per lo più eterogenei anche all’interno dello stesso Dipartimento)</w:t>
      </w:r>
      <w:r w:rsidR="00BC527A" w:rsidRPr="000A0D5B">
        <w:rPr>
          <w:rFonts w:ascii="Times New Roman" w:hAnsi="Times New Roman"/>
          <w:sz w:val="24"/>
          <w:szCs w:val="24"/>
        </w:rPr>
        <w:t>, sia a livello d</w:t>
      </w:r>
      <w:r w:rsidR="000A0D5B">
        <w:rPr>
          <w:rFonts w:ascii="Times New Roman" w:hAnsi="Times New Roman"/>
          <w:sz w:val="24"/>
          <w:szCs w:val="24"/>
        </w:rPr>
        <w:t>i</w:t>
      </w:r>
      <w:r w:rsidR="00BC527A" w:rsidRPr="000A0D5B">
        <w:rPr>
          <w:rFonts w:ascii="Times New Roman" w:hAnsi="Times New Roman"/>
          <w:sz w:val="24"/>
          <w:szCs w:val="24"/>
        </w:rPr>
        <w:t xml:space="preserve"> gestione delle carriere studenti</w:t>
      </w:r>
      <w:r w:rsidR="00C41AB6" w:rsidRPr="000A0D5B">
        <w:rPr>
          <w:rFonts w:ascii="Times New Roman" w:hAnsi="Times New Roman"/>
          <w:sz w:val="24"/>
          <w:szCs w:val="24"/>
        </w:rPr>
        <w:t xml:space="preserve"> (regole per esami a scelta, modifiche piani di studio, ecc difformi tra </w:t>
      </w:r>
      <w:proofErr w:type="spellStart"/>
      <w:r w:rsidR="00C41AB6" w:rsidRPr="000A0D5B">
        <w:rPr>
          <w:rFonts w:ascii="Times New Roman" w:hAnsi="Times New Roman"/>
          <w:sz w:val="24"/>
          <w:szCs w:val="24"/>
        </w:rPr>
        <w:t>Cds</w:t>
      </w:r>
      <w:proofErr w:type="spellEnd"/>
      <w:r w:rsidR="00C41AB6" w:rsidRPr="000A0D5B">
        <w:rPr>
          <w:rFonts w:ascii="Times New Roman" w:hAnsi="Times New Roman"/>
          <w:sz w:val="24"/>
          <w:szCs w:val="24"/>
        </w:rPr>
        <w:t xml:space="preserve"> e tra Dipartimenti). Tra le cause ostative alla rilevazione sono da annoverare, altresì, </w:t>
      </w:r>
      <w:r w:rsidR="000A0D5B" w:rsidRPr="000A0D5B">
        <w:rPr>
          <w:rFonts w:ascii="Times New Roman" w:hAnsi="Times New Roman"/>
          <w:sz w:val="24"/>
          <w:szCs w:val="24"/>
        </w:rPr>
        <w:t>il ritardo delle procedure di individuazione dei docenti titolari degli insegnamenti, continui spostamenti delle discipline tra semestri, l</w:t>
      </w:r>
      <w:r w:rsidR="00C41AB6" w:rsidRPr="000A0D5B">
        <w:rPr>
          <w:rFonts w:ascii="Times New Roman" w:hAnsi="Times New Roman"/>
          <w:sz w:val="24"/>
          <w:szCs w:val="24"/>
        </w:rPr>
        <w:t xml:space="preserve">a </w:t>
      </w:r>
      <w:r w:rsidR="008663F9" w:rsidRPr="000A0D5B">
        <w:rPr>
          <w:rFonts w:ascii="Times New Roman" w:hAnsi="Times New Roman"/>
          <w:sz w:val="24"/>
          <w:szCs w:val="24"/>
        </w:rPr>
        <w:t xml:space="preserve">sovrapposizione di più commissioni di esame per </w:t>
      </w:r>
      <w:r w:rsidR="000A0D5B" w:rsidRPr="000A0D5B">
        <w:rPr>
          <w:rFonts w:ascii="Times New Roman" w:hAnsi="Times New Roman"/>
          <w:sz w:val="24"/>
          <w:szCs w:val="24"/>
        </w:rPr>
        <w:t>la stessa disciplina</w:t>
      </w:r>
      <w:r w:rsidR="008663F9" w:rsidRPr="000A0D5B">
        <w:rPr>
          <w:rFonts w:ascii="Times New Roman" w:hAnsi="Times New Roman"/>
          <w:sz w:val="24"/>
          <w:szCs w:val="24"/>
        </w:rPr>
        <w:t xml:space="preserve">, </w:t>
      </w:r>
      <w:r w:rsidR="000A0D5B" w:rsidRPr="000A0D5B">
        <w:rPr>
          <w:rFonts w:ascii="Times New Roman" w:hAnsi="Times New Roman"/>
          <w:sz w:val="24"/>
          <w:szCs w:val="24"/>
        </w:rPr>
        <w:t>articolazione degli esami in moduli.</w:t>
      </w:r>
    </w:p>
    <w:p w:rsidR="008663F9" w:rsidRDefault="00530D8B" w:rsidP="000D08DA">
      <w:pPr>
        <w:spacing w:after="0" w:line="360" w:lineRule="auto"/>
        <w:jc w:val="both"/>
        <w:rPr>
          <w:rFonts w:ascii="Times New Roman" w:hAnsi="Times New Roman"/>
          <w:sz w:val="24"/>
          <w:szCs w:val="24"/>
        </w:rPr>
      </w:pPr>
      <w:r>
        <w:rPr>
          <w:rFonts w:ascii="Times New Roman" w:hAnsi="Times New Roman"/>
          <w:sz w:val="24"/>
          <w:szCs w:val="24"/>
        </w:rPr>
        <w:t>Anche sul fronte (b) l’ateneo ha attivato molteplici processi, volti all’accompagnamento dello studente dall’ingresso all’uscita. In particolare, è attivo un ampio progetto, POP</w:t>
      </w:r>
      <w:r w:rsidR="000A0D5B">
        <w:rPr>
          <w:rFonts w:ascii="Times New Roman" w:hAnsi="Times New Roman"/>
          <w:sz w:val="24"/>
          <w:szCs w:val="24"/>
        </w:rPr>
        <w:t xml:space="preserve"> </w:t>
      </w:r>
      <w:r w:rsidR="000A0D5B" w:rsidRPr="000A0D5B">
        <w:rPr>
          <w:rFonts w:ascii="Times New Roman" w:hAnsi="Times New Roman"/>
          <w:i/>
          <w:sz w:val="24"/>
          <w:szCs w:val="24"/>
        </w:rPr>
        <w:t xml:space="preserve">Promozione Orientamento e </w:t>
      </w:r>
      <w:proofErr w:type="spellStart"/>
      <w:r w:rsidR="000A0D5B" w:rsidRPr="000A0D5B">
        <w:rPr>
          <w:rFonts w:ascii="Times New Roman" w:hAnsi="Times New Roman"/>
          <w:i/>
          <w:sz w:val="24"/>
          <w:szCs w:val="24"/>
        </w:rPr>
        <w:t>Placement</w:t>
      </w:r>
      <w:proofErr w:type="spellEnd"/>
      <w:r>
        <w:rPr>
          <w:rFonts w:ascii="Times New Roman" w:hAnsi="Times New Roman"/>
          <w:sz w:val="24"/>
          <w:szCs w:val="24"/>
        </w:rPr>
        <w:t xml:space="preserve">, coordinato in seno alla CPS dal Prof. </w:t>
      </w:r>
      <w:proofErr w:type="spellStart"/>
      <w:r>
        <w:rPr>
          <w:rFonts w:ascii="Times New Roman" w:hAnsi="Times New Roman"/>
          <w:sz w:val="24"/>
          <w:szCs w:val="24"/>
        </w:rPr>
        <w:t>Acciani</w:t>
      </w:r>
      <w:proofErr w:type="spellEnd"/>
      <w:r>
        <w:rPr>
          <w:rFonts w:ascii="Times New Roman" w:hAnsi="Times New Roman"/>
          <w:sz w:val="24"/>
          <w:szCs w:val="24"/>
        </w:rPr>
        <w:t>, e finanziato dal MIUR a fronte dei valori raggiunti dagli indicatori di progetto. Ad oggi questo progetto ha visto le seguenti iniziative:</w:t>
      </w:r>
    </w:p>
    <w:p w:rsidR="00530D8B" w:rsidRPr="001D11EC" w:rsidRDefault="00530D8B" w:rsidP="000D08DA">
      <w:pPr>
        <w:pStyle w:val="Paragrafoelenco"/>
        <w:numPr>
          <w:ilvl w:val="0"/>
          <w:numId w:val="3"/>
        </w:numPr>
        <w:spacing w:line="360" w:lineRule="auto"/>
        <w:jc w:val="both"/>
        <w:rPr>
          <w:rFonts w:ascii="Times New Roman" w:hAnsi="Times New Roman"/>
          <w:sz w:val="24"/>
          <w:szCs w:val="24"/>
        </w:rPr>
      </w:pPr>
      <w:r w:rsidRPr="001D11EC">
        <w:rPr>
          <w:rFonts w:ascii="Times New Roman" w:hAnsi="Times New Roman"/>
          <w:sz w:val="24"/>
          <w:szCs w:val="24"/>
        </w:rPr>
        <w:t>Iniziative volte a migliorare il percorso degli studenti: monitoraggio degli indicatori di tale percorso ed individuazione delle criticità: CFU/studente/anno; ad oggi per il Politecnico i valori degli indicatori risultano in media significativamente superiori al minimo previsto per il successo del progetto;</w:t>
      </w:r>
    </w:p>
    <w:p w:rsidR="00530D8B" w:rsidRPr="001D11EC" w:rsidRDefault="00530D8B" w:rsidP="000D08DA">
      <w:pPr>
        <w:pStyle w:val="Paragrafoelenco"/>
        <w:numPr>
          <w:ilvl w:val="0"/>
          <w:numId w:val="3"/>
        </w:numPr>
        <w:spacing w:line="360" w:lineRule="auto"/>
        <w:jc w:val="both"/>
        <w:rPr>
          <w:rFonts w:ascii="Times New Roman" w:hAnsi="Times New Roman"/>
          <w:sz w:val="24"/>
          <w:szCs w:val="24"/>
        </w:rPr>
      </w:pPr>
      <w:r w:rsidRPr="001D11EC">
        <w:rPr>
          <w:rFonts w:ascii="Times New Roman" w:hAnsi="Times New Roman"/>
          <w:sz w:val="24"/>
          <w:szCs w:val="24"/>
        </w:rPr>
        <w:t>Attivazione del tutoraggio a carico di studenti tutor; rapporti di tutoraggio ogni due mesi;</w:t>
      </w:r>
    </w:p>
    <w:p w:rsidR="00530D8B" w:rsidRPr="001D11EC" w:rsidRDefault="00530D8B" w:rsidP="000D08DA">
      <w:pPr>
        <w:pStyle w:val="Paragrafoelenco"/>
        <w:numPr>
          <w:ilvl w:val="0"/>
          <w:numId w:val="3"/>
        </w:numPr>
        <w:spacing w:line="360" w:lineRule="auto"/>
        <w:jc w:val="both"/>
        <w:rPr>
          <w:rFonts w:ascii="Times New Roman" w:hAnsi="Times New Roman"/>
          <w:sz w:val="24"/>
          <w:szCs w:val="24"/>
        </w:rPr>
      </w:pPr>
      <w:r w:rsidRPr="001D11EC">
        <w:rPr>
          <w:rFonts w:ascii="Times New Roman" w:hAnsi="Times New Roman"/>
          <w:sz w:val="24"/>
          <w:szCs w:val="24"/>
        </w:rPr>
        <w:t>Attivazione della piattaforma che permetterà di fornire spiegazioni agli studenti a distanza;</w:t>
      </w:r>
    </w:p>
    <w:p w:rsidR="00530D8B" w:rsidRPr="001D11EC" w:rsidRDefault="00530D8B" w:rsidP="000D08DA">
      <w:pPr>
        <w:pStyle w:val="Paragrafoelenco"/>
        <w:numPr>
          <w:ilvl w:val="0"/>
          <w:numId w:val="3"/>
        </w:numPr>
        <w:spacing w:line="360" w:lineRule="auto"/>
        <w:jc w:val="both"/>
        <w:rPr>
          <w:rFonts w:ascii="Times New Roman" w:hAnsi="Times New Roman"/>
          <w:sz w:val="24"/>
          <w:szCs w:val="24"/>
        </w:rPr>
      </w:pPr>
      <w:r w:rsidRPr="001D11EC">
        <w:rPr>
          <w:rFonts w:ascii="Times New Roman" w:hAnsi="Times New Roman"/>
          <w:sz w:val="24"/>
          <w:szCs w:val="24"/>
        </w:rPr>
        <w:t>Attivazione del Laboratorio multimediale di matematica;</w:t>
      </w:r>
    </w:p>
    <w:p w:rsidR="00530D8B" w:rsidRPr="001D11EC" w:rsidRDefault="00530D8B" w:rsidP="000D08DA">
      <w:pPr>
        <w:pStyle w:val="Paragrafoelenco"/>
        <w:numPr>
          <w:ilvl w:val="0"/>
          <w:numId w:val="3"/>
        </w:numPr>
        <w:spacing w:line="360" w:lineRule="auto"/>
        <w:jc w:val="both"/>
        <w:rPr>
          <w:rFonts w:ascii="Times New Roman" w:hAnsi="Times New Roman"/>
          <w:sz w:val="24"/>
          <w:szCs w:val="24"/>
        </w:rPr>
      </w:pPr>
      <w:r w:rsidRPr="001D11EC">
        <w:rPr>
          <w:rFonts w:ascii="Times New Roman" w:hAnsi="Times New Roman"/>
          <w:sz w:val="24"/>
          <w:szCs w:val="24"/>
        </w:rPr>
        <w:t xml:space="preserve">Attivazione del </w:t>
      </w:r>
      <w:proofErr w:type="spellStart"/>
      <w:r w:rsidRPr="001D11EC">
        <w:rPr>
          <w:rFonts w:ascii="Times New Roman" w:hAnsi="Times New Roman"/>
          <w:sz w:val="24"/>
          <w:szCs w:val="24"/>
        </w:rPr>
        <w:t>PoliHappening</w:t>
      </w:r>
      <w:proofErr w:type="spellEnd"/>
      <w:r w:rsidRPr="001D11EC">
        <w:rPr>
          <w:rFonts w:ascii="Times New Roman" w:hAnsi="Times New Roman"/>
          <w:sz w:val="24"/>
          <w:szCs w:val="24"/>
        </w:rPr>
        <w:t xml:space="preserve">, sia a Bari sia a Taranto, per il reclutamento degli </w:t>
      </w:r>
      <w:r>
        <w:rPr>
          <w:rFonts w:ascii="Times New Roman" w:hAnsi="Times New Roman"/>
          <w:sz w:val="24"/>
          <w:szCs w:val="24"/>
        </w:rPr>
        <w:t>studenti</w:t>
      </w:r>
      <w:r w:rsidRPr="001D11EC">
        <w:rPr>
          <w:rFonts w:ascii="Times New Roman" w:hAnsi="Times New Roman"/>
          <w:sz w:val="24"/>
          <w:szCs w:val="24"/>
        </w:rPr>
        <w:t>;</w:t>
      </w:r>
    </w:p>
    <w:p w:rsidR="00530D8B" w:rsidRPr="001D11EC" w:rsidRDefault="00530D8B" w:rsidP="000D08DA">
      <w:pPr>
        <w:pStyle w:val="Paragrafoelenco"/>
        <w:numPr>
          <w:ilvl w:val="0"/>
          <w:numId w:val="3"/>
        </w:numPr>
        <w:spacing w:line="360" w:lineRule="auto"/>
        <w:jc w:val="both"/>
        <w:rPr>
          <w:rFonts w:ascii="Times New Roman" w:hAnsi="Times New Roman"/>
          <w:sz w:val="24"/>
          <w:szCs w:val="24"/>
        </w:rPr>
      </w:pPr>
      <w:r w:rsidRPr="001D11EC">
        <w:rPr>
          <w:rFonts w:ascii="Times New Roman" w:hAnsi="Times New Roman"/>
          <w:sz w:val="24"/>
          <w:szCs w:val="24"/>
        </w:rPr>
        <w:t xml:space="preserve">Attivazione del </w:t>
      </w:r>
      <w:proofErr w:type="spellStart"/>
      <w:r w:rsidRPr="001D11EC">
        <w:rPr>
          <w:rFonts w:ascii="Times New Roman" w:hAnsi="Times New Roman"/>
          <w:sz w:val="24"/>
          <w:szCs w:val="24"/>
        </w:rPr>
        <w:t>placement</w:t>
      </w:r>
      <w:proofErr w:type="spellEnd"/>
      <w:r w:rsidRPr="001D11EC">
        <w:rPr>
          <w:rFonts w:ascii="Times New Roman" w:hAnsi="Times New Roman"/>
          <w:sz w:val="24"/>
          <w:szCs w:val="24"/>
        </w:rPr>
        <w:t>, con tirocini extracurriculari monitorati tramite documentazione delle competenze acquisite dal tirocinante; monitoraggio del numero di tirocini;</w:t>
      </w:r>
    </w:p>
    <w:p w:rsidR="00530D8B" w:rsidRDefault="00530D8B" w:rsidP="000D08DA">
      <w:pPr>
        <w:pStyle w:val="Paragrafoelenco"/>
        <w:numPr>
          <w:ilvl w:val="0"/>
          <w:numId w:val="3"/>
        </w:numPr>
        <w:spacing w:line="360" w:lineRule="auto"/>
        <w:jc w:val="both"/>
        <w:rPr>
          <w:rFonts w:ascii="Times New Roman" w:hAnsi="Times New Roman"/>
          <w:sz w:val="24"/>
          <w:szCs w:val="24"/>
        </w:rPr>
      </w:pPr>
      <w:r w:rsidRPr="001D11EC">
        <w:rPr>
          <w:rFonts w:ascii="Times New Roman" w:hAnsi="Times New Roman"/>
          <w:sz w:val="24"/>
          <w:szCs w:val="24"/>
        </w:rPr>
        <w:t xml:space="preserve">Attivazione di una Newsletter di </w:t>
      </w:r>
      <w:proofErr w:type="spellStart"/>
      <w:r w:rsidRPr="001D11EC">
        <w:rPr>
          <w:rFonts w:ascii="Times New Roman" w:hAnsi="Times New Roman"/>
          <w:sz w:val="24"/>
          <w:szCs w:val="24"/>
        </w:rPr>
        <w:t>PoliBA</w:t>
      </w:r>
      <w:proofErr w:type="spellEnd"/>
      <w:r w:rsidRPr="001D11EC">
        <w:rPr>
          <w:rFonts w:ascii="Times New Roman" w:hAnsi="Times New Roman"/>
          <w:sz w:val="24"/>
          <w:szCs w:val="24"/>
        </w:rPr>
        <w:t xml:space="preserve"> di interesse per le aziende, volta alla diffusione della c</w:t>
      </w:r>
      <w:r>
        <w:rPr>
          <w:rFonts w:ascii="Times New Roman" w:hAnsi="Times New Roman"/>
          <w:sz w:val="24"/>
          <w:szCs w:val="24"/>
        </w:rPr>
        <w:t xml:space="preserve">onoscenza  circa </w:t>
      </w:r>
      <w:r w:rsidRPr="001D11EC">
        <w:rPr>
          <w:rFonts w:ascii="Times New Roman" w:hAnsi="Times New Roman"/>
          <w:sz w:val="24"/>
          <w:szCs w:val="24"/>
        </w:rPr>
        <w:t>la formazione erogata dall’</w:t>
      </w:r>
      <w:r>
        <w:rPr>
          <w:rFonts w:ascii="Times New Roman" w:hAnsi="Times New Roman"/>
          <w:sz w:val="24"/>
          <w:szCs w:val="24"/>
        </w:rPr>
        <w:t>ateneo.</w:t>
      </w:r>
    </w:p>
    <w:p w:rsidR="00530D8B" w:rsidRDefault="00530D8B" w:rsidP="006A59D4">
      <w:pPr>
        <w:spacing w:after="0" w:line="360" w:lineRule="auto"/>
        <w:jc w:val="both"/>
        <w:rPr>
          <w:rFonts w:ascii="Times New Roman" w:hAnsi="Times New Roman"/>
          <w:sz w:val="24"/>
          <w:szCs w:val="24"/>
        </w:rPr>
      </w:pPr>
      <w:r w:rsidRPr="00A36407">
        <w:rPr>
          <w:rFonts w:ascii="Times New Roman" w:hAnsi="Times New Roman"/>
          <w:sz w:val="24"/>
          <w:szCs w:val="24"/>
        </w:rPr>
        <w:t xml:space="preserve">Un </w:t>
      </w:r>
      <w:r w:rsidR="001E3276">
        <w:rPr>
          <w:rFonts w:ascii="Times New Roman" w:hAnsi="Times New Roman"/>
          <w:sz w:val="24"/>
          <w:szCs w:val="24"/>
        </w:rPr>
        <w:t xml:space="preserve">breve </w:t>
      </w:r>
      <w:r w:rsidRPr="00A36407">
        <w:rPr>
          <w:rFonts w:ascii="Times New Roman" w:hAnsi="Times New Roman"/>
          <w:sz w:val="24"/>
          <w:szCs w:val="24"/>
        </w:rPr>
        <w:t>resoconto delle attività ad oggi del progetto POP è allegato alla presente</w:t>
      </w:r>
      <w:r w:rsidR="0003402D">
        <w:rPr>
          <w:rFonts w:ascii="Times New Roman" w:hAnsi="Times New Roman"/>
          <w:sz w:val="24"/>
          <w:szCs w:val="24"/>
        </w:rPr>
        <w:t xml:space="preserve"> </w:t>
      </w:r>
      <w:r w:rsidR="0003402D" w:rsidRPr="00041FD0">
        <w:rPr>
          <w:rFonts w:ascii="Times New Roman" w:hAnsi="Times New Roman"/>
          <w:b/>
          <w:sz w:val="24"/>
          <w:szCs w:val="24"/>
        </w:rPr>
        <w:t xml:space="preserve">(Allegato n. </w:t>
      </w:r>
      <w:r w:rsidR="0062232D" w:rsidRPr="00041FD0">
        <w:rPr>
          <w:rFonts w:ascii="Times New Roman" w:hAnsi="Times New Roman"/>
          <w:b/>
          <w:sz w:val="24"/>
          <w:szCs w:val="24"/>
        </w:rPr>
        <w:t>7</w:t>
      </w:r>
      <w:r w:rsidR="0003402D" w:rsidRPr="00041FD0">
        <w:rPr>
          <w:rFonts w:ascii="Times New Roman" w:hAnsi="Times New Roman"/>
          <w:b/>
          <w:sz w:val="24"/>
          <w:szCs w:val="24"/>
        </w:rPr>
        <w:t>).</w:t>
      </w:r>
      <w:r>
        <w:rPr>
          <w:rFonts w:ascii="Times New Roman" w:hAnsi="Times New Roman"/>
          <w:sz w:val="24"/>
          <w:szCs w:val="24"/>
        </w:rPr>
        <w:t xml:space="preserve"> Circa l’accompagnamento dei laureandi e dei laureati al lavoro</w:t>
      </w:r>
      <w:r w:rsidR="00A87E99">
        <w:rPr>
          <w:rFonts w:ascii="Times New Roman" w:hAnsi="Times New Roman"/>
          <w:sz w:val="24"/>
          <w:szCs w:val="24"/>
        </w:rPr>
        <w:t>,</w:t>
      </w:r>
      <w:r>
        <w:rPr>
          <w:rFonts w:ascii="Times New Roman" w:hAnsi="Times New Roman"/>
          <w:sz w:val="24"/>
          <w:szCs w:val="24"/>
        </w:rPr>
        <w:t xml:space="preserve"> il PQA ha rilevato che di contro a molteplici iniziative svolte dall’ateneo</w:t>
      </w:r>
      <w:r w:rsidR="00785E7F" w:rsidRPr="00785E7F">
        <w:rPr>
          <w:rFonts w:ascii="Times New Roman" w:hAnsi="Times New Roman"/>
          <w:sz w:val="24"/>
          <w:szCs w:val="24"/>
        </w:rPr>
        <w:t xml:space="preserve"> </w:t>
      </w:r>
      <w:r w:rsidR="00785E7F">
        <w:rPr>
          <w:rFonts w:ascii="Times New Roman" w:hAnsi="Times New Roman"/>
          <w:sz w:val="24"/>
          <w:szCs w:val="24"/>
        </w:rPr>
        <w:t>per i settori dell’area industriale, 09</w:t>
      </w:r>
      <w:r>
        <w:rPr>
          <w:rFonts w:ascii="Times New Roman" w:hAnsi="Times New Roman"/>
          <w:sz w:val="24"/>
          <w:szCs w:val="24"/>
        </w:rPr>
        <w:t xml:space="preserve">, sia nell’ambito del POP, </w:t>
      </w:r>
      <w:r>
        <w:rPr>
          <w:rFonts w:ascii="Times New Roman" w:hAnsi="Times New Roman"/>
          <w:sz w:val="24"/>
          <w:szCs w:val="24"/>
        </w:rPr>
        <w:lastRenderedPageBreak/>
        <w:t xml:space="preserve">sia in </w:t>
      </w:r>
      <w:r w:rsidR="00785E7F">
        <w:rPr>
          <w:rFonts w:ascii="Times New Roman" w:hAnsi="Times New Roman"/>
          <w:sz w:val="24"/>
          <w:szCs w:val="24"/>
        </w:rPr>
        <w:t>altri</w:t>
      </w:r>
      <w:r>
        <w:rPr>
          <w:rFonts w:ascii="Times New Roman" w:hAnsi="Times New Roman"/>
          <w:sz w:val="24"/>
          <w:szCs w:val="24"/>
        </w:rPr>
        <w:t xml:space="preserve"> contesti, non altrettante sono le iniziative a livello istituzionale per l’accompagnament</w:t>
      </w:r>
      <w:r w:rsidR="00785E7F">
        <w:rPr>
          <w:rFonts w:ascii="Times New Roman" w:hAnsi="Times New Roman"/>
          <w:sz w:val="24"/>
          <w:szCs w:val="24"/>
        </w:rPr>
        <w:t>o dei laureandi e laureati dell</w:t>
      </w:r>
      <w:r>
        <w:rPr>
          <w:rFonts w:ascii="Times New Roman" w:hAnsi="Times New Roman"/>
          <w:sz w:val="24"/>
          <w:szCs w:val="24"/>
        </w:rPr>
        <w:t>’area 08, da qui l’incentivo ad una loro intensificazione sia a livello di aten</w:t>
      </w:r>
      <w:r w:rsidR="001E3276">
        <w:rPr>
          <w:rFonts w:ascii="Times New Roman" w:hAnsi="Times New Roman"/>
          <w:sz w:val="24"/>
          <w:szCs w:val="24"/>
        </w:rPr>
        <w:t>eo, sia di dipartimento</w:t>
      </w:r>
      <w:r>
        <w:rPr>
          <w:rFonts w:ascii="Times New Roman" w:hAnsi="Times New Roman"/>
          <w:sz w:val="24"/>
          <w:szCs w:val="24"/>
        </w:rPr>
        <w:t>.</w:t>
      </w:r>
      <w:r w:rsidR="002A4F16">
        <w:rPr>
          <w:rFonts w:ascii="Times New Roman" w:hAnsi="Times New Roman"/>
          <w:sz w:val="24"/>
          <w:szCs w:val="24"/>
        </w:rPr>
        <w:t xml:space="preserve"> </w:t>
      </w:r>
    </w:p>
    <w:p w:rsidR="002A4F16" w:rsidRDefault="009F50D4" w:rsidP="006A59D4">
      <w:pPr>
        <w:spacing w:after="0" w:line="360" w:lineRule="auto"/>
        <w:jc w:val="both"/>
        <w:rPr>
          <w:rFonts w:ascii="Times New Roman" w:hAnsi="Times New Roman"/>
          <w:sz w:val="24"/>
          <w:szCs w:val="24"/>
        </w:rPr>
      </w:pPr>
      <w:r>
        <w:rPr>
          <w:rFonts w:ascii="Times New Roman" w:hAnsi="Times New Roman"/>
          <w:sz w:val="24"/>
          <w:szCs w:val="24"/>
        </w:rPr>
        <w:t>In sede di D</w:t>
      </w:r>
      <w:r w:rsidR="002A4F16">
        <w:rPr>
          <w:rFonts w:ascii="Times New Roman" w:hAnsi="Times New Roman"/>
          <w:sz w:val="24"/>
          <w:szCs w:val="24"/>
        </w:rPr>
        <w:t>ipartimento e di Commissioni di Riesame, a fronte delle problematiche del fronte (b) dianzi citato, si sono attivate più iniziative complessivamente volte alla ristrutturazione ed intensificazione del tutoraggio degli studenti, anche con significativo impegno del corpo docente.</w:t>
      </w:r>
    </w:p>
    <w:p w:rsidR="002A4F16" w:rsidRDefault="00785E7F" w:rsidP="006A59D4">
      <w:pPr>
        <w:spacing w:after="0" w:line="360" w:lineRule="auto"/>
        <w:jc w:val="both"/>
        <w:rPr>
          <w:rFonts w:ascii="Times New Roman" w:hAnsi="Times New Roman"/>
          <w:sz w:val="24"/>
          <w:szCs w:val="24"/>
        </w:rPr>
      </w:pPr>
      <w:r>
        <w:rPr>
          <w:rFonts w:ascii="Times New Roman" w:hAnsi="Times New Roman"/>
          <w:sz w:val="24"/>
          <w:szCs w:val="24"/>
        </w:rPr>
        <w:t>Per il fronte (c), invece, il PQA</w:t>
      </w:r>
      <w:r w:rsidR="002A4F16">
        <w:rPr>
          <w:rFonts w:ascii="Times New Roman" w:hAnsi="Times New Roman"/>
          <w:sz w:val="24"/>
          <w:szCs w:val="24"/>
        </w:rPr>
        <w:t xml:space="preserve"> non ha riconosciuto iniziative significative</w:t>
      </w:r>
      <w:r w:rsidR="009F7682">
        <w:rPr>
          <w:rFonts w:ascii="Times New Roman" w:hAnsi="Times New Roman"/>
          <w:sz w:val="24"/>
          <w:szCs w:val="24"/>
        </w:rPr>
        <w:t>. Infatti, non appare configurarsi una sistematica analisi de</w:t>
      </w:r>
      <w:r w:rsidR="0062232D">
        <w:rPr>
          <w:rFonts w:ascii="Times New Roman" w:hAnsi="Times New Roman"/>
          <w:sz w:val="24"/>
          <w:szCs w:val="24"/>
        </w:rPr>
        <w:t>lla coerenza dei</w:t>
      </w:r>
      <w:r w:rsidR="009F7682">
        <w:rPr>
          <w:rFonts w:ascii="Times New Roman" w:hAnsi="Times New Roman"/>
          <w:sz w:val="24"/>
          <w:szCs w:val="24"/>
        </w:rPr>
        <w:t xml:space="preserve"> programmi culturali dei corsi con gli obiettivi del corso. Altresì</w:t>
      </w:r>
      <w:r w:rsidR="00A87E99">
        <w:rPr>
          <w:rFonts w:ascii="Times New Roman" w:hAnsi="Times New Roman"/>
          <w:sz w:val="24"/>
          <w:szCs w:val="24"/>
        </w:rPr>
        <w:t>,</w:t>
      </w:r>
      <w:r w:rsidR="009F7682">
        <w:rPr>
          <w:rFonts w:ascii="Times New Roman" w:hAnsi="Times New Roman"/>
          <w:sz w:val="24"/>
          <w:szCs w:val="24"/>
        </w:rPr>
        <w:t xml:space="preserve"> </w:t>
      </w:r>
      <w:r w:rsidR="00A87E99">
        <w:rPr>
          <w:rFonts w:ascii="Times New Roman" w:hAnsi="Times New Roman"/>
          <w:sz w:val="24"/>
          <w:szCs w:val="24"/>
        </w:rPr>
        <w:t xml:space="preserve">nelle SUA </w:t>
      </w:r>
      <w:proofErr w:type="spellStart"/>
      <w:r w:rsidR="00A87E99">
        <w:rPr>
          <w:rFonts w:ascii="Times New Roman" w:hAnsi="Times New Roman"/>
          <w:sz w:val="24"/>
          <w:szCs w:val="24"/>
        </w:rPr>
        <w:t>CdS</w:t>
      </w:r>
      <w:proofErr w:type="spellEnd"/>
      <w:r w:rsidR="00A87E99">
        <w:rPr>
          <w:rFonts w:ascii="Times New Roman" w:hAnsi="Times New Roman"/>
          <w:sz w:val="24"/>
          <w:szCs w:val="24"/>
        </w:rPr>
        <w:t xml:space="preserve"> </w:t>
      </w:r>
      <w:r w:rsidR="009F7682">
        <w:rPr>
          <w:rFonts w:ascii="Times New Roman" w:hAnsi="Times New Roman"/>
          <w:sz w:val="24"/>
          <w:szCs w:val="24"/>
        </w:rPr>
        <w:t xml:space="preserve">non appare configurarsi un approfondimento delle analisi di contesto e della domanda cui il </w:t>
      </w:r>
      <w:proofErr w:type="spellStart"/>
      <w:r w:rsidR="009F7682">
        <w:rPr>
          <w:rFonts w:ascii="Times New Roman" w:hAnsi="Times New Roman"/>
          <w:sz w:val="24"/>
          <w:szCs w:val="24"/>
        </w:rPr>
        <w:t>CdS</w:t>
      </w:r>
      <w:proofErr w:type="spellEnd"/>
      <w:r w:rsidR="009F7682">
        <w:rPr>
          <w:rFonts w:ascii="Times New Roman" w:hAnsi="Times New Roman"/>
          <w:sz w:val="24"/>
          <w:szCs w:val="24"/>
        </w:rPr>
        <w:t xml:space="preserve"> intende rispondere, anche coadiuvata dall’interlocuzione tra </w:t>
      </w:r>
      <w:r w:rsidR="009F50D4">
        <w:rPr>
          <w:rFonts w:ascii="Times New Roman" w:hAnsi="Times New Roman"/>
          <w:sz w:val="24"/>
          <w:szCs w:val="24"/>
        </w:rPr>
        <w:t>il D</w:t>
      </w:r>
      <w:r w:rsidR="00A87E99">
        <w:rPr>
          <w:rFonts w:ascii="Times New Roman" w:hAnsi="Times New Roman"/>
          <w:sz w:val="24"/>
          <w:szCs w:val="24"/>
        </w:rPr>
        <w:t>ipartimento</w:t>
      </w:r>
      <w:r w:rsidR="009F7682">
        <w:rPr>
          <w:rFonts w:ascii="Times New Roman" w:hAnsi="Times New Roman"/>
          <w:sz w:val="24"/>
          <w:szCs w:val="24"/>
        </w:rPr>
        <w:t xml:space="preserve"> e</w:t>
      </w:r>
      <w:r w:rsidR="00A87E99">
        <w:rPr>
          <w:rFonts w:ascii="Times New Roman" w:hAnsi="Times New Roman"/>
          <w:sz w:val="24"/>
          <w:szCs w:val="24"/>
        </w:rPr>
        <w:t>d</w:t>
      </w:r>
      <w:r w:rsidR="009F7682">
        <w:rPr>
          <w:rFonts w:ascii="Times New Roman" w:hAnsi="Times New Roman"/>
          <w:sz w:val="24"/>
          <w:szCs w:val="24"/>
        </w:rPr>
        <w:t xml:space="preserve"> il mondo del lavoro, come atteso dall’ANVUR. Si insiste sull’importanza che il DM. 47 </w:t>
      </w:r>
      <w:r w:rsidR="003B6631">
        <w:rPr>
          <w:rFonts w:ascii="Times New Roman" w:hAnsi="Times New Roman"/>
          <w:sz w:val="24"/>
          <w:szCs w:val="24"/>
        </w:rPr>
        <w:t>dà</w:t>
      </w:r>
      <w:r w:rsidR="009F7682">
        <w:rPr>
          <w:rFonts w:ascii="Times New Roman" w:hAnsi="Times New Roman"/>
          <w:sz w:val="24"/>
          <w:szCs w:val="24"/>
        </w:rPr>
        <w:t xml:space="preserve"> a questi aspetti, di fatto premessa di corretti piani di formazione, che </w:t>
      </w:r>
      <w:r w:rsidR="009D6CF2">
        <w:rPr>
          <w:rFonts w:ascii="Times New Roman" w:hAnsi="Times New Roman"/>
          <w:sz w:val="24"/>
          <w:szCs w:val="24"/>
        </w:rPr>
        <w:t>possano essere</w:t>
      </w:r>
      <w:r w:rsidR="009F7682">
        <w:rPr>
          <w:rFonts w:ascii="Times New Roman" w:hAnsi="Times New Roman"/>
          <w:sz w:val="24"/>
          <w:szCs w:val="24"/>
        </w:rPr>
        <w:t xml:space="preserve"> </w:t>
      </w:r>
      <w:r w:rsidR="009D6CF2">
        <w:rPr>
          <w:rFonts w:ascii="Times New Roman" w:hAnsi="Times New Roman"/>
          <w:sz w:val="24"/>
          <w:szCs w:val="24"/>
        </w:rPr>
        <w:t>di giustificato interesse</w:t>
      </w:r>
      <w:r w:rsidR="009F7682">
        <w:rPr>
          <w:rFonts w:ascii="Times New Roman" w:hAnsi="Times New Roman"/>
          <w:sz w:val="24"/>
          <w:szCs w:val="24"/>
        </w:rPr>
        <w:t xml:space="preserve"> </w:t>
      </w:r>
      <w:r w:rsidR="009D6CF2">
        <w:rPr>
          <w:rFonts w:ascii="Times New Roman" w:hAnsi="Times New Roman"/>
          <w:sz w:val="24"/>
          <w:szCs w:val="24"/>
        </w:rPr>
        <w:t xml:space="preserve">per la popolazione </w:t>
      </w:r>
      <w:r w:rsidR="009F7682">
        <w:rPr>
          <w:rFonts w:ascii="Times New Roman" w:hAnsi="Times New Roman"/>
          <w:sz w:val="24"/>
          <w:szCs w:val="24"/>
        </w:rPr>
        <w:t>student</w:t>
      </w:r>
      <w:r w:rsidR="009D6CF2">
        <w:rPr>
          <w:rFonts w:ascii="Times New Roman" w:hAnsi="Times New Roman"/>
          <w:sz w:val="24"/>
          <w:szCs w:val="24"/>
        </w:rPr>
        <w:t>esca</w:t>
      </w:r>
      <w:r w:rsidR="009F7682">
        <w:rPr>
          <w:rFonts w:ascii="Times New Roman" w:hAnsi="Times New Roman"/>
          <w:sz w:val="24"/>
          <w:szCs w:val="24"/>
        </w:rPr>
        <w:t xml:space="preserve">. </w:t>
      </w:r>
      <w:r w:rsidR="00A87E99">
        <w:rPr>
          <w:rFonts w:ascii="Times New Roman" w:hAnsi="Times New Roman"/>
          <w:sz w:val="24"/>
          <w:szCs w:val="24"/>
        </w:rPr>
        <w:t xml:space="preserve">A livello di governo dell’ateneo, </w:t>
      </w:r>
      <w:r w:rsidR="009F7682">
        <w:rPr>
          <w:rFonts w:ascii="Times New Roman" w:hAnsi="Times New Roman"/>
          <w:sz w:val="24"/>
          <w:szCs w:val="24"/>
        </w:rPr>
        <w:t>non si è ancora riconosciuta una pianificazione d</w:t>
      </w:r>
      <w:r w:rsidR="009D6CF2">
        <w:rPr>
          <w:rFonts w:ascii="Times New Roman" w:hAnsi="Times New Roman"/>
          <w:sz w:val="24"/>
          <w:szCs w:val="24"/>
        </w:rPr>
        <w:t>i</w:t>
      </w:r>
      <w:r w:rsidR="009F7682">
        <w:rPr>
          <w:rFonts w:ascii="Times New Roman" w:hAnsi="Times New Roman"/>
          <w:sz w:val="24"/>
          <w:szCs w:val="24"/>
        </w:rPr>
        <w:t xml:space="preserve"> azioni</w:t>
      </w:r>
      <w:r w:rsidR="00A87E99">
        <w:rPr>
          <w:rFonts w:ascii="Times New Roman" w:hAnsi="Times New Roman"/>
          <w:sz w:val="24"/>
          <w:szCs w:val="24"/>
        </w:rPr>
        <w:t xml:space="preserve"> volte a collimare l’erogazione della formazione con gli obiettivi di ateneo</w:t>
      </w:r>
      <w:r w:rsidR="009F7682">
        <w:rPr>
          <w:rFonts w:ascii="Times New Roman" w:hAnsi="Times New Roman"/>
          <w:sz w:val="24"/>
          <w:szCs w:val="24"/>
        </w:rPr>
        <w:t xml:space="preserve">, </w:t>
      </w:r>
      <w:r>
        <w:rPr>
          <w:rFonts w:ascii="Times New Roman" w:hAnsi="Times New Roman"/>
          <w:sz w:val="24"/>
          <w:szCs w:val="24"/>
        </w:rPr>
        <w:t xml:space="preserve">così come </w:t>
      </w:r>
      <w:r w:rsidR="00CD0ED1">
        <w:rPr>
          <w:rFonts w:ascii="Times New Roman" w:hAnsi="Times New Roman"/>
          <w:sz w:val="24"/>
          <w:szCs w:val="24"/>
        </w:rPr>
        <w:t>una programmazione delle risorse volte allo sviluppo scientifico degli assi ritenuti di maggiore valenza e che al contempo rispondano a</w:t>
      </w:r>
      <w:r>
        <w:rPr>
          <w:rFonts w:ascii="Times New Roman" w:hAnsi="Times New Roman"/>
          <w:sz w:val="24"/>
          <w:szCs w:val="24"/>
        </w:rPr>
        <w:t>lla domanda d</w:t>
      </w:r>
      <w:r w:rsidR="00A87E99">
        <w:rPr>
          <w:rFonts w:ascii="Times New Roman" w:hAnsi="Times New Roman"/>
          <w:sz w:val="24"/>
          <w:szCs w:val="24"/>
        </w:rPr>
        <w:t>i</w:t>
      </w:r>
      <w:r>
        <w:rPr>
          <w:rFonts w:ascii="Times New Roman" w:hAnsi="Times New Roman"/>
          <w:sz w:val="24"/>
          <w:szCs w:val="24"/>
        </w:rPr>
        <w:t xml:space="preserve"> formazione </w:t>
      </w:r>
      <w:r w:rsidR="00CD0ED1">
        <w:rPr>
          <w:rFonts w:ascii="Times New Roman" w:hAnsi="Times New Roman"/>
          <w:sz w:val="24"/>
          <w:szCs w:val="24"/>
        </w:rPr>
        <w:t>del mercato</w:t>
      </w:r>
      <w:r w:rsidR="00A87E99">
        <w:rPr>
          <w:rFonts w:ascii="Times New Roman" w:hAnsi="Times New Roman"/>
          <w:sz w:val="24"/>
          <w:szCs w:val="24"/>
        </w:rPr>
        <w:t xml:space="preserve"> del lavoro</w:t>
      </w:r>
      <w:r w:rsidR="00CD0ED1">
        <w:rPr>
          <w:rFonts w:ascii="Times New Roman" w:hAnsi="Times New Roman"/>
          <w:sz w:val="24"/>
          <w:szCs w:val="24"/>
        </w:rPr>
        <w:t xml:space="preserve">, con riflesso </w:t>
      </w:r>
      <w:r w:rsidR="009D6CF2">
        <w:rPr>
          <w:rFonts w:ascii="Times New Roman" w:hAnsi="Times New Roman"/>
          <w:sz w:val="24"/>
          <w:szCs w:val="24"/>
        </w:rPr>
        <w:t>anche nelle</w:t>
      </w:r>
      <w:r w:rsidR="00CD0ED1">
        <w:rPr>
          <w:rFonts w:ascii="Times New Roman" w:hAnsi="Times New Roman"/>
          <w:sz w:val="24"/>
          <w:szCs w:val="24"/>
        </w:rPr>
        <w:t xml:space="preserve"> immatricolazioni. </w:t>
      </w:r>
      <w:r w:rsidR="005E096A">
        <w:rPr>
          <w:rFonts w:ascii="Times New Roman" w:hAnsi="Times New Roman"/>
          <w:sz w:val="24"/>
          <w:szCs w:val="24"/>
        </w:rPr>
        <w:t xml:space="preserve">Si richiama come carenze di risorse di docenza in alcuni settori </w:t>
      </w:r>
      <w:r w:rsidR="00E036F9">
        <w:rPr>
          <w:rFonts w:ascii="Times New Roman" w:hAnsi="Times New Roman"/>
          <w:sz w:val="24"/>
          <w:szCs w:val="24"/>
        </w:rPr>
        <w:t xml:space="preserve">possono </w:t>
      </w:r>
      <w:r w:rsidR="005E096A">
        <w:rPr>
          <w:rFonts w:ascii="Times New Roman" w:hAnsi="Times New Roman"/>
          <w:sz w:val="24"/>
          <w:szCs w:val="24"/>
        </w:rPr>
        <w:t xml:space="preserve">giustificare </w:t>
      </w:r>
      <w:r w:rsidR="00E036F9">
        <w:rPr>
          <w:rFonts w:ascii="Times New Roman" w:hAnsi="Times New Roman"/>
          <w:sz w:val="24"/>
          <w:szCs w:val="24"/>
        </w:rPr>
        <w:t xml:space="preserve">un affanno didattico che può riflettersi </w:t>
      </w:r>
      <w:r w:rsidR="005E096A">
        <w:rPr>
          <w:rFonts w:ascii="Times New Roman" w:hAnsi="Times New Roman"/>
          <w:sz w:val="24"/>
          <w:szCs w:val="24"/>
        </w:rPr>
        <w:t xml:space="preserve">nella formazione. </w:t>
      </w:r>
      <w:r w:rsidR="00CD0ED1">
        <w:rPr>
          <w:rFonts w:ascii="Times New Roman" w:hAnsi="Times New Roman"/>
          <w:sz w:val="24"/>
          <w:szCs w:val="24"/>
        </w:rPr>
        <w:t>Il PQA si rende disponibile a sostenere tutte le azioni utili sul fronte (c), a</w:t>
      </w:r>
      <w:r w:rsidR="00E036F9">
        <w:rPr>
          <w:rFonts w:ascii="Times New Roman" w:hAnsi="Times New Roman"/>
          <w:sz w:val="24"/>
          <w:szCs w:val="24"/>
        </w:rPr>
        <w:t xml:space="preserve">uspicandone una discussione </w:t>
      </w:r>
      <w:r>
        <w:rPr>
          <w:rFonts w:ascii="Times New Roman" w:hAnsi="Times New Roman"/>
          <w:sz w:val="24"/>
          <w:szCs w:val="24"/>
        </w:rPr>
        <w:t xml:space="preserve">con </w:t>
      </w:r>
      <w:r w:rsidR="00E036F9">
        <w:rPr>
          <w:rFonts w:ascii="Times New Roman" w:hAnsi="Times New Roman"/>
          <w:sz w:val="24"/>
          <w:szCs w:val="24"/>
        </w:rPr>
        <w:t xml:space="preserve">il Rettore e con </w:t>
      </w:r>
      <w:r>
        <w:rPr>
          <w:rFonts w:ascii="Times New Roman" w:hAnsi="Times New Roman"/>
          <w:sz w:val="24"/>
          <w:szCs w:val="24"/>
        </w:rPr>
        <w:t>i Direttori di Dipartimento</w:t>
      </w:r>
      <w:r w:rsidR="00E036F9">
        <w:rPr>
          <w:rFonts w:ascii="Times New Roman" w:hAnsi="Times New Roman"/>
          <w:sz w:val="24"/>
          <w:szCs w:val="24"/>
        </w:rPr>
        <w:t>.</w:t>
      </w:r>
    </w:p>
    <w:p w:rsidR="00064E50" w:rsidRDefault="00064E50" w:rsidP="006A59D4">
      <w:pPr>
        <w:spacing w:after="0" w:line="360" w:lineRule="auto"/>
        <w:jc w:val="both"/>
        <w:rPr>
          <w:rFonts w:ascii="Times New Roman" w:hAnsi="Times New Roman"/>
          <w:sz w:val="24"/>
          <w:szCs w:val="24"/>
        </w:rPr>
      </w:pPr>
    </w:p>
    <w:p w:rsidR="00530D8B" w:rsidRPr="00064E50" w:rsidRDefault="00084AD5" w:rsidP="00064E50">
      <w:pPr>
        <w:pStyle w:val="Paragrafoelenco"/>
        <w:numPr>
          <w:ilvl w:val="0"/>
          <w:numId w:val="7"/>
        </w:numPr>
        <w:spacing w:after="0" w:line="360" w:lineRule="auto"/>
        <w:ind w:left="0" w:firstLine="0"/>
        <w:jc w:val="both"/>
        <w:rPr>
          <w:rFonts w:ascii="Times New Roman" w:hAnsi="Times New Roman"/>
          <w:sz w:val="24"/>
          <w:szCs w:val="24"/>
          <w:u w:val="single"/>
        </w:rPr>
      </w:pPr>
      <w:r w:rsidRPr="00064E50">
        <w:rPr>
          <w:rFonts w:ascii="Times New Roman" w:hAnsi="Times New Roman"/>
          <w:sz w:val="24"/>
          <w:szCs w:val="24"/>
          <w:u w:val="single"/>
        </w:rPr>
        <w:t>INTERNAZIONALIZZAZIONE</w:t>
      </w:r>
    </w:p>
    <w:p w:rsidR="00AC110E" w:rsidRDefault="00AC110E" w:rsidP="00064E50">
      <w:pPr>
        <w:spacing w:after="0" w:line="360" w:lineRule="auto"/>
        <w:jc w:val="both"/>
        <w:rPr>
          <w:rFonts w:ascii="Times New Roman" w:hAnsi="Times New Roman"/>
          <w:sz w:val="24"/>
          <w:szCs w:val="24"/>
        </w:rPr>
      </w:pPr>
      <w:r>
        <w:rPr>
          <w:rFonts w:ascii="Times New Roman" w:hAnsi="Times New Roman"/>
          <w:sz w:val="24"/>
          <w:szCs w:val="24"/>
        </w:rPr>
        <w:t xml:space="preserve">Si allega la relazione prodotta dal Prof. Nicola </w:t>
      </w:r>
      <w:proofErr w:type="spellStart"/>
      <w:r>
        <w:rPr>
          <w:rFonts w:ascii="Times New Roman" w:hAnsi="Times New Roman"/>
          <w:sz w:val="24"/>
          <w:szCs w:val="24"/>
        </w:rPr>
        <w:t>Giaqu</w:t>
      </w:r>
      <w:r w:rsidR="000D08DA">
        <w:rPr>
          <w:rFonts w:ascii="Times New Roman" w:hAnsi="Times New Roman"/>
          <w:sz w:val="24"/>
          <w:szCs w:val="24"/>
        </w:rPr>
        <w:t>into</w:t>
      </w:r>
      <w:proofErr w:type="spellEnd"/>
      <w:r w:rsidR="000D08DA">
        <w:rPr>
          <w:rFonts w:ascii="Times New Roman" w:hAnsi="Times New Roman"/>
          <w:sz w:val="24"/>
          <w:szCs w:val="24"/>
        </w:rPr>
        <w:t>, d</w:t>
      </w:r>
      <w:r>
        <w:rPr>
          <w:rFonts w:ascii="Times New Roman" w:hAnsi="Times New Roman"/>
          <w:sz w:val="24"/>
          <w:szCs w:val="24"/>
        </w:rPr>
        <w:t>elegato del Ret</w:t>
      </w:r>
      <w:r w:rsidR="0028578C">
        <w:rPr>
          <w:rFonts w:ascii="Times New Roman" w:hAnsi="Times New Roman"/>
          <w:sz w:val="24"/>
          <w:szCs w:val="24"/>
        </w:rPr>
        <w:t xml:space="preserve">tore all’Internazionalizzazione </w:t>
      </w:r>
      <w:r w:rsidR="0028578C" w:rsidRPr="00041FD0">
        <w:rPr>
          <w:rFonts w:ascii="Times New Roman" w:hAnsi="Times New Roman"/>
          <w:b/>
          <w:sz w:val="24"/>
          <w:szCs w:val="24"/>
        </w:rPr>
        <w:t xml:space="preserve">(Allegato n. </w:t>
      </w:r>
      <w:r w:rsidR="0062232D" w:rsidRPr="00041FD0">
        <w:rPr>
          <w:rFonts w:ascii="Times New Roman" w:hAnsi="Times New Roman"/>
          <w:b/>
          <w:sz w:val="24"/>
          <w:szCs w:val="24"/>
        </w:rPr>
        <w:t>8</w:t>
      </w:r>
      <w:r w:rsidR="0028578C" w:rsidRPr="00041FD0">
        <w:rPr>
          <w:rFonts w:ascii="Times New Roman" w:hAnsi="Times New Roman"/>
          <w:b/>
          <w:sz w:val="24"/>
          <w:szCs w:val="24"/>
        </w:rPr>
        <w:t>).</w:t>
      </w:r>
    </w:p>
    <w:p w:rsidR="00BB1119" w:rsidRPr="00BB1119" w:rsidRDefault="00BB1119" w:rsidP="006A59D4">
      <w:pPr>
        <w:spacing w:after="0" w:line="360" w:lineRule="auto"/>
        <w:jc w:val="both"/>
        <w:rPr>
          <w:rFonts w:ascii="Times New Roman" w:hAnsi="Times New Roman"/>
          <w:sz w:val="24"/>
          <w:szCs w:val="24"/>
        </w:rPr>
      </w:pPr>
    </w:p>
    <w:p w:rsidR="008663F9" w:rsidRPr="00E036F9" w:rsidRDefault="00064E50" w:rsidP="00064E50">
      <w:pPr>
        <w:pStyle w:val="Paragrafoelenco"/>
        <w:numPr>
          <w:ilvl w:val="0"/>
          <w:numId w:val="7"/>
        </w:numPr>
        <w:spacing w:after="0" w:line="360" w:lineRule="auto"/>
        <w:ind w:left="0" w:firstLine="0"/>
        <w:jc w:val="both"/>
        <w:rPr>
          <w:rFonts w:ascii="Times New Roman" w:hAnsi="Times New Roman"/>
          <w:sz w:val="24"/>
          <w:szCs w:val="24"/>
          <w:u w:val="single"/>
        </w:rPr>
      </w:pPr>
      <w:r w:rsidRPr="00BB1119">
        <w:rPr>
          <w:rFonts w:ascii="Times New Roman" w:hAnsi="Times New Roman"/>
          <w:sz w:val="24"/>
          <w:szCs w:val="24"/>
          <w:u w:val="single"/>
        </w:rPr>
        <w:t xml:space="preserve">EVOLUZIONE del RUOLO del </w:t>
      </w:r>
      <w:proofErr w:type="spellStart"/>
      <w:r w:rsidRPr="00BB1119">
        <w:rPr>
          <w:rFonts w:ascii="Times New Roman" w:hAnsi="Times New Roman"/>
          <w:sz w:val="24"/>
          <w:szCs w:val="24"/>
          <w:u w:val="single"/>
        </w:rPr>
        <w:t>NdV</w:t>
      </w:r>
      <w:proofErr w:type="spellEnd"/>
      <w:r w:rsidRPr="00BB1119">
        <w:rPr>
          <w:rFonts w:ascii="Times New Roman" w:hAnsi="Times New Roman"/>
          <w:sz w:val="24"/>
          <w:szCs w:val="24"/>
          <w:u w:val="single"/>
        </w:rPr>
        <w:t xml:space="preserve"> nel SISTEMA di VALU</w:t>
      </w:r>
      <w:r w:rsidRPr="00E036F9">
        <w:rPr>
          <w:rFonts w:ascii="Times New Roman" w:hAnsi="Times New Roman"/>
          <w:sz w:val="24"/>
          <w:szCs w:val="24"/>
          <w:u w:val="single"/>
        </w:rPr>
        <w:t>TAZIONE NAZIONALE</w:t>
      </w:r>
    </w:p>
    <w:p w:rsidR="008663F9" w:rsidRDefault="00064E50" w:rsidP="00064E50">
      <w:pPr>
        <w:spacing w:after="0" w:line="360" w:lineRule="auto"/>
        <w:jc w:val="both"/>
        <w:rPr>
          <w:rFonts w:ascii="Times New Roman" w:hAnsi="Times New Roman"/>
          <w:sz w:val="24"/>
          <w:szCs w:val="24"/>
        </w:rPr>
      </w:pPr>
      <w:r>
        <w:rPr>
          <w:rFonts w:ascii="Times New Roman" w:hAnsi="Times New Roman"/>
          <w:sz w:val="24"/>
          <w:szCs w:val="24"/>
        </w:rPr>
        <w:t xml:space="preserve">L’ANVUR ha definito un nuovo indirizzo per le attività dei </w:t>
      </w:r>
      <w:proofErr w:type="spellStart"/>
      <w:r>
        <w:rPr>
          <w:rFonts w:ascii="Times New Roman" w:hAnsi="Times New Roman"/>
          <w:sz w:val="24"/>
          <w:szCs w:val="24"/>
        </w:rPr>
        <w:t>NdV</w:t>
      </w:r>
      <w:proofErr w:type="spellEnd"/>
      <w:r>
        <w:rPr>
          <w:rFonts w:ascii="Times New Roman" w:hAnsi="Times New Roman"/>
          <w:sz w:val="24"/>
          <w:szCs w:val="24"/>
        </w:rPr>
        <w:t xml:space="preserve"> di ateneo, potenziandone la funzione valutativa. Il PQA svolge sostegno attivo alle attività del </w:t>
      </w:r>
      <w:proofErr w:type="spellStart"/>
      <w:r>
        <w:rPr>
          <w:rFonts w:ascii="Times New Roman" w:hAnsi="Times New Roman"/>
          <w:sz w:val="24"/>
          <w:szCs w:val="24"/>
        </w:rPr>
        <w:t>NdV</w:t>
      </w:r>
      <w:proofErr w:type="spellEnd"/>
      <w:r>
        <w:rPr>
          <w:rFonts w:ascii="Times New Roman" w:hAnsi="Times New Roman"/>
          <w:sz w:val="24"/>
          <w:szCs w:val="24"/>
        </w:rPr>
        <w:t xml:space="preserve"> per permettergli di recuperare tutto il patrimonio documentale delle azioni di AQ svolte in seno all’ateneo. Alla luce di questa esperienza, il PQA sollecita l’Amministrazione di Ateneo a </w:t>
      </w:r>
      <w:r w:rsidR="00DC48E1">
        <w:rPr>
          <w:rFonts w:ascii="Times New Roman" w:hAnsi="Times New Roman"/>
          <w:sz w:val="24"/>
          <w:szCs w:val="24"/>
        </w:rPr>
        <w:t xml:space="preserve">tenere sotto controllo </w:t>
      </w:r>
      <w:r w:rsidR="00E036F9">
        <w:rPr>
          <w:rFonts w:ascii="Times New Roman" w:hAnsi="Times New Roman"/>
          <w:sz w:val="24"/>
          <w:szCs w:val="24"/>
        </w:rPr>
        <w:t>l’</w:t>
      </w:r>
      <w:r>
        <w:rPr>
          <w:rFonts w:ascii="Times New Roman" w:hAnsi="Times New Roman"/>
          <w:sz w:val="24"/>
          <w:szCs w:val="24"/>
        </w:rPr>
        <w:t>archiviazione dei documenti di AQ</w:t>
      </w:r>
      <w:r w:rsidR="00DC48E1">
        <w:rPr>
          <w:rFonts w:ascii="Times New Roman" w:hAnsi="Times New Roman"/>
          <w:sz w:val="24"/>
          <w:szCs w:val="24"/>
        </w:rPr>
        <w:t xml:space="preserve"> con un sistema organico e centralizzato</w:t>
      </w:r>
      <w:r>
        <w:rPr>
          <w:rFonts w:ascii="Times New Roman" w:hAnsi="Times New Roman"/>
          <w:sz w:val="24"/>
          <w:szCs w:val="24"/>
        </w:rPr>
        <w:t xml:space="preserve">, attualmente distribuiti nei diversi uffici operanti e presso i docenti incaricati </w:t>
      </w:r>
      <w:r w:rsidR="00785E7F">
        <w:rPr>
          <w:rFonts w:ascii="Times New Roman" w:hAnsi="Times New Roman"/>
          <w:sz w:val="24"/>
          <w:szCs w:val="24"/>
        </w:rPr>
        <w:t>del coordinamento del</w:t>
      </w:r>
      <w:r>
        <w:rPr>
          <w:rFonts w:ascii="Times New Roman" w:hAnsi="Times New Roman"/>
          <w:sz w:val="24"/>
          <w:szCs w:val="24"/>
        </w:rPr>
        <w:t>le diverse azioni di AQ</w:t>
      </w:r>
      <w:r w:rsidR="00785E7F">
        <w:rPr>
          <w:rFonts w:ascii="Times New Roman" w:hAnsi="Times New Roman"/>
          <w:sz w:val="24"/>
          <w:szCs w:val="24"/>
        </w:rPr>
        <w:t>. C</w:t>
      </w:r>
      <w:r>
        <w:rPr>
          <w:rFonts w:ascii="Times New Roman" w:hAnsi="Times New Roman"/>
          <w:sz w:val="24"/>
          <w:szCs w:val="24"/>
        </w:rPr>
        <w:t xml:space="preserve">iò è atteso dall’AVA e richiesto in sede di verifica CEV. Ciò permetterà anche una più agile verifica per l’autovalutazione e un più efficace supporto al </w:t>
      </w:r>
      <w:proofErr w:type="spellStart"/>
      <w:r>
        <w:rPr>
          <w:rFonts w:ascii="Times New Roman" w:hAnsi="Times New Roman"/>
          <w:sz w:val="24"/>
          <w:szCs w:val="24"/>
        </w:rPr>
        <w:t>NdV</w:t>
      </w:r>
      <w:proofErr w:type="spellEnd"/>
      <w:r>
        <w:rPr>
          <w:rFonts w:ascii="Times New Roman" w:hAnsi="Times New Roman"/>
          <w:sz w:val="24"/>
          <w:szCs w:val="24"/>
        </w:rPr>
        <w:t xml:space="preserve">. </w:t>
      </w:r>
    </w:p>
    <w:p w:rsidR="00064E50" w:rsidRPr="006A59D4" w:rsidRDefault="00064E50" w:rsidP="00064E50">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Nell’ambito delle nuove attività di valutazione da parte del </w:t>
      </w:r>
      <w:proofErr w:type="spellStart"/>
      <w:r>
        <w:rPr>
          <w:rFonts w:ascii="Times New Roman" w:hAnsi="Times New Roman"/>
          <w:sz w:val="24"/>
          <w:szCs w:val="24"/>
        </w:rPr>
        <w:t>NdV</w:t>
      </w:r>
      <w:proofErr w:type="spellEnd"/>
      <w:r>
        <w:rPr>
          <w:rFonts w:ascii="Times New Roman" w:hAnsi="Times New Roman"/>
          <w:sz w:val="24"/>
          <w:szCs w:val="24"/>
        </w:rPr>
        <w:t xml:space="preserve"> è previsto un Piano di </w:t>
      </w:r>
      <w:r w:rsidR="00DC48E1">
        <w:rPr>
          <w:rFonts w:ascii="Times New Roman" w:hAnsi="Times New Roman"/>
          <w:sz w:val="24"/>
          <w:szCs w:val="24"/>
        </w:rPr>
        <w:t xml:space="preserve">Auditing </w:t>
      </w:r>
      <w:r>
        <w:rPr>
          <w:rFonts w:ascii="Times New Roman" w:hAnsi="Times New Roman"/>
          <w:sz w:val="24"/>
          <w:szCs w:val="24"/>
        </w:rPr>
        <w:t xml:space="preserve">dei </w:t>
      </w:r>
      <w:proofErr w:type="spellStart"/>
      <w:r>
        <w:rPr>
          <w:rFonts w:ascii="Times New Roman" w:hAnsi="Times New Roman"/>
          <w:sz w:val="24"/>
          <w:szCs w:val="24"/>
        </w:rPr>
        <w:t>CdS</w:t>
      </w:r>
      <w:proofErr w:type="spellEnd"/>
      <w:r>
        <w:rPr>
          <w:rFonts w:ascii="Times New Roman" w:hAnsi="Times New Roman"/>
          <w:sz w:val="24"/>
          <w:szCs w:val="24"/>
        </w:rPr>
        <w:t xml:space="preserve"> di ateneo, che si aggiunge all’azione di</w:t>
      </w:r>
      <w:r w:rsidR="00E036F9">
        <w:rPr>
          <w:rFonts w:ascii="Times New Roman" w:hAnsi="Times New Roman"/>
          <w:sz w:val="24"/>
          <w:szCs w:val="24"/>
        </w:rPr>
        <w:t xml:space="preserve"> AUDIT da parte del PQA. Le linee guida per i </w:t>
      </w:r>
      <w:proofErr w:type="spellStart"/>
      <w:r w:rsidR="00E036F9">
        <w:rPr>
          <w:rFonts w:ascii="Times New Roman" w:hAnsi="Times New Roman"/>
          <w:sz w:val="24"/>
          <w:szCs w:val="24"/>
        </w:rPr>
        <w:t>NdV</w:t>
      </w:r>
      <w:proofErr w:type="spellEnd"/>
      <w:r w:rsidR="00E036F9">
        <w:rPr>
          <w:rFonts w:ascii="Times New Roman" w:hAnsi="Times New Roman"/>
          <w:sz w:val="24"/>
          <w:szCs w:val="24"/>
        </w:rPr>
        <w:t xml:space="preserve"> prevedono che tale </w:t>
      </w:r>
      <w:r>
        <w:rPr>
          <w:rFonts w:ascii="Times New Roman" w:hAnsi="Times New Roman"/>
          <w:sz w:val="24"/>
          <w:szCs w:val="24"/>
        </w:rPr>
        <w:t xml:space="preserve">Piano </w:t>
      </w:r>
      <w:r w:rsidR="00E036F9">
        <w:rPr>
          <w:rFonts w:ascii="Times New Roman" w:hAnsi="Times New Roman"/>
          <w:sz w:val="24"/>
          <w:szCs w:val="24"/>
        </w:rPr>
        <w:t>sia</w:t>
      </w:r>
      <w:r>
        <w:rPr>
          <w:rFonts w:ascii="Times New Roman" w:hAnsi="Times New Roman"/>
          <w:sz w:val="24"/>
          <w:szCs w:val="24"/>
        </w:rPr>
        <w:t xml:space="preserve"> concordato con il PQ</w:t>
      </w:r>
      <w:r w:rsidR="00785E7F">
        <w:rPr>
          <w:rFonts w:ascii="Times New Roman" w:hAnsi="Times New Roman"/>
          <w:sz w:val="24"/>
          <w:szCs w:val="24"/>
        </w:rPr>
        <w:t>A</w:t>
      </w:r>
      <w:r>
        <w:rPr>
          <w:rFonts w:ascii="Times New Roman" w:hAnsi="Times New Roman"/>
          <w:sz w:val="24"/>
          <w:szCs w:val="24"/>
        </w:rPr>
        <w:t xml:space="preserve"> e svolto sinergicamente. Si comunic</w:t>
      </w:r>
      <w:r w:rsidR="00785E7F">
        <w:rPr>
          <w:rFonts w:ascii="Times New Roman" w:hAnsi="Times New Roman"/>
          <w:sz w:val="24"/>
          <w:szCs w:val="24"/>
        </w:rPr>
        <w:t xml:space="preserve">a </w:t>
      </w:r>
      <w:r w:rsidR="00E036F9">
        <w:rPr>
          <w:rFonts w:ascii="Times New Roman" w:hAnsi="Times New Roman"/>
          <w:sz w:val="24"/>
          <w:szCs w:val="24"/>
        </w:rPr>
        <w:t xml:space="preserve">quindi </w:t>
      </w:r>
      <w:r w:rsidR="00785E7F">
        <w:rPr>
          <w:rFonts w:ascii="Times New Roman" w:hAnsi="Times New Roman"/>
          <w:sz w:val="24"/>
          <w:szCs w:val="24"/>
        </w:rPr>
        <w:t>che sono in analisi i R</w:t>
      </w:r>
      <w:r>
        <w:rPr>
          <w:rFonts w:ascii="Times New Roman" w:hAnsi="Times New Roman"/>
          <w:sz w:val="24"/>
          <w:szCs w:val="24"/>
        </w:rPr>
        <w:t>iesame d</w:t>
      </w:r>
      <w:r w:rsidR="0095656D">
        <w:rPr>
          <w:rFonts w:ascii="Times New Roman" w:hAnsi="Times New Roman"/>
          <w:sz w:val="24"/>
          <w:szCs w:val="24"/>
        </w:rPr>
        <w:t xml:space="preserve">i tutti i </w:t>
      </w:r>
      <w:proofErr w:type="spellStart"/>
      <w:r w:rsidR="0095656D">
        <w:rPr>
          <w:rFonts w:ascii="Times New Roman" w:hAnsi="Times New Roman"/>
          <w:sz w:val="24"/>
          <w:szCs w:val="24"/>
        </w:rPr>
        <w:t>CdS</w:t>
      </w:r>
      <w:proofErr w:type="spellEnd"/>
      <w:r w:rsidR="0095656D">
        <w:rPr>
          <w:rFonts w:ascii="Times New Roman" w:hAnsi="Times New Roman"/>
          <w:sz w:val="24"/>
          <w:szCs w:val="24"/>
        </w:rPr>
        <w:t xml:space="preserve"> d</w:t>
      </w:r>
      <w:r>
        <w:rPr>
          <w:rFonts w:ascii="Times New Roman" w:hAnsi="Times New Roman"/>
          <w:sz w:val="24"/>
          <w:szCs w:val="24"/>
        </w:rPr>
        <w:t xml:space="preserve">a parte del PQA e del </w:t>
      </w:r>
      <w:proofErr w:type="spellStart"/>
      <w:r>
        <w:rPr>
          <w:rFonts w:ascii="Times New Roman" w:hAnsi="Times New Roman"/>
          <w:sz w:val="24"/>
          <w:szCs w:val="24"/>
        </w:rPr>
        <w:t>NdV</w:t>
      </w:r>
      <w:proofErr w:type="spellEnd"/>
      <w:r>
        <w:rPr>
          <w:rFonts w:ascii="Times New Roman" w:hAnsi="Times New Roman"/>
          <w:sz w:val="24"/>
          <w:szCs w:val="24"/>
        </w:rPr>
        <w:t xml:space="preserve"> e che alcuni </w:t>
      </w:r>
      <w:proofErr w:type="spellStart"/>
      <w:r>
        <w:rPr>
          <w:rFonts w:ascii="Times New Roman" w:hAnsi="Times New Roman"/>
          <w:sz w:val="24"/>
          <w:szCs w:val="24"/>
        </w:rPr>
        <w:t>CdS</w:t>
      </w:r>
      <w:proofErr w:type="spellEnd"/>
      <w:r>
        <w:rPr>
          <w:rFonts w:ascii="Times New Roman" w:hAnsi="Times New Roman"/>
          <w:sz w:val="24"/>
          <w:szCs w:val="24"/>
        </w:rPr>
        <w:t xml:space="preserve"> saranno invitati ad audizioni frontali a breve.</w:t>
      </w:r>
    </w:p>
    <w:p w:rsidR="008663F9" w:rsidRPr="006A59D4" w:rsidRDefault="008663F9" w:rsidP="006A59D4">
      <w:pPr>
        <w:spacing w:after="0" w:line="360" w:lineRule="auto"/>
        <w:jc w:val="both"/>
        <w:rPr>
          <w:rFonts w:ascii="Times New Roman" w:hAnsi="Times New Roman"/>
          <w:sz w:val="24"/>
          <w:szCs w:val="24"/>
        </w:rPr>
      </w:pPr>
    </w:p>
    <w:p w:rsidR="008663F9" w:rsidRPr="006A59D4" w:rsidRDefault="00E036F9" w:rsidP="006A59D4">
      <w:pPr>
        <w:spacing w:after="0" w:line="360" w:lineRule="auto"/>
        <w:jc w:val="both"/>
        <w:rPr>
          <w:rFonts w:ascii="Times New Roman" w:hAnsi="Times New Roman"/>
          <w:sz w:val="24"/>
          <w:szCs w:val="24"/>
        </w:rPr>
      </w:pPr>
      <w:proofErr w:type="spellStart"/>
      <w:r>
        <w:rPr>
          <w:rFonts w:ascii="Times New Roman" w:hAnsi="Times New Roman"/>
          <w:sz w:val="24"/>
          <w:szCs w:val="24"/>
        </w:rPr>
        <w:t>PQA_POLIBA</w:t>
      </w:r>
      <w:proofErr w:type="spellEnd"/>
      <w:r>
        <w:rPr>
          <w:rFonts w:ascii="Times New Roman" w:hAnsi="Times New Roman"/>
          <w:sz w:val="24"/>
          <w:szCs w:val="24"/>
        </w:rPr>
        <w:tab/>
        <w:t xml:space="preserve">Bari, </w:t>
      </w:r>
      <w:r w:rsidR="00DD722D">
        <w:rPr>
          <w:rFonts w:ascii="Times New Roman" w:hAnsi="Times New Roman"/>
          <w:sz w:val="24"/>
          <w:szCs w:val="24"/>
        </w:rPr>
        <w:t>10</w:t>
      </w:r>
      <w:r>
        <w:rPr>
          <w:rFonts w:ascii="Times New Roman" w:hAnsi="Times New Roman"/>
          <w:sz w:val="24"/>
          <w:szCs w:val="24"/>
        </w:rPr>
        <w:t xml:space="preserve"> Giugno 2015</w:t>
      </w:r>
    </w:p>
    <w:p w:rsidR="008663F9" w:rsidRPr="006A59D4" w:rsidRDefault="008663F9" w:rsidP="006A59D4">
      <w:pPr>
        <w:spacing w:after="0" w:line="360" w:lineRule="auto"/>
        <w:jc w:val="both"/>
        <w:rPr>
          <w:rFonts w:ascii="Times New Roman" w:hAnsi="Times New Roman"/>
          <w:sz w:val="24"/>
          <w:szCs w:val="24"/>
        </w:rPr>
      </w:pPr>
    </w:p>
    <w:p w:rsidR="008663F9" w:rsidRPr="006A59D4" w:rsidRDefault="008663F9" w:rsidP="006A59D4">
      <w:pPr>
        <w:spacing w:after="0" w:line="360" w:lineRule="auto"/>
        <w:rPr>
          <w:rFonts w:ascii="Times New Roman" w:hAnsi="Times New Roman"/>
          <w:sz w:val="24"/>
          <w:szCs w:val="24"/>
        </w:rPr>
      </w:pPr>
    </w:p>
    <w:p w:rsidR="000F2B5E" w:rsidRPr="006A59D4" w:rsidRDefault="000F2B5E" w:rsidP="006A59D4">
      <w:pPr>
        <w:spacing w:after="0" w:line="360" w:lineRule="auto"/>
        <w:rPr>
          <w:rFonts w:ascii="Times New Roman" w:hAnsi="Times New Roman"/>
          <w:sz w:val="24"/>
          <w:szCs w:val="24"/>
        </w:rPr>
      </w:pPr>
    </w:p>
    <w:sectPr w:rsidR="000F2B5E" w:rsidRPr="006A59D4" w:rsidSect="004A5365">
      <w:footerReference w:type="default" r:id="rId15"/>
      <w:pgSz w:w="11906" w:h="16838"/>
      <w:pgMar w:top="1417" w:right="1134" w:bottom="1134" w:left="1134"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F1699E" w15:done="0"/>
  <w15:commentEx w15:paraId="4A2907E4" w15:done="0"/>
  <w15:commentEx w15:paraId="2320A027" w15:done="0"/>
  <w15:commentEx w15:paraId="35ACC858" w15:done="0"/>
  <w15:commentEx w15:paraId="408E9915" w15:done="0"/>
  <w15:commentEx w15:paraId="39938E8D" w15:done="0"/>
  <w15:commentEx w15:paraId="6CD07B7B" w15:done="0"/>
  <w15:commentEx w15:paraId="151E09BC" w15:done="0"/>
  <w15:commentEx w15:paraId="3C682213" w15:done="0"/>
  <w15:commentEx w15:paraId="2ABC3C9F" w15:done="0"/>
  <w15:commentEx w15:paraId="794F35ED" w15:done="0"/>
  <w15:commentEx w15:paraId="232241AE" w15:done="0"/>
  <w15:commentEx w15:paraId="4623F91C" w15:done="0"/>
  <w15:commentEx w15:paraId="5220B551" w15:done="0"/>
  <w15:commentEx w15:paraId="3D63D4C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11D" w:rsidRDefault="00AF511D" w:rsidP="00CC4873">
      <w:pPr>
        <w:spacing w:after="0" w:line="240" w:lineRule="auto"/>
      </w:pPr>
      <w:r>
        <w:separator/>
      </w:r>
    </w:p>
  </w:endnote>
  <w:endnote w:type="continuationSeparator" w:id="0">
    <w:p w:rsidR="00AF511D" w:rsidRDefault="00AF511D" w:rsidP="00CC48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637219"/>
      <w:docPartObj>
        <w:docPartGallery w:val="Page Numbers (Bottom of Page)"/>
        <w:docPartUnique/>
      </w:docPartObj>
    </w:sdtPr>
    <w:sdtContent>
      <w:p w:rsidR="003246ED" w:rsidRDefault="00200353">
        <w:pPr>
          <w:pStyle w:val="Pidipagina"/>
          <w:jc w:val="right"/>
        </w:pPr>
        <w:fldSimple w:instr=" PAGE   \* MERGEFORMAT ">
          <w:r w:rsidR="008D66FE">
            <w:rPr>
              <w:noProof/>
            </w:rPr>
            <w:t>2</w:t>
          </w:r>
        </w:fldSimple>
      </w:p>
    </w:sdtContent>
  </w:sdt>
  <w:p w:rsidR="003246ED" w:rsidRDefault="003246E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11D" w:rsidRDefault="00AF511D" w:rsidP="00CC4873">
      <w:pPr>
        <w:spacing w:after="0" w:line="240" w:lineRule="auto"/>
      </w:pPr>
      <w:r>
        <w:separator/>
      </w:r>
    </w:p>
  </w:footnote>
  <w:footnote w:type="continuationSeparator" w:id="0">
    <w:p w:rsidR="00AF511D" w:rsidRDefault="00AF511D" w:rsidP="00CC48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0600B"/>
    <w:multiLevelType w:val="hybridMultilevel"/>
    <w:tmpl w:val="86A87732"/>
    <w:lvl w:ilvl="0" w:tplc="7292C60E">
      <w:start w:val="1"/>
      <w:numFmt w:val="decimal"/>
      <w:lvlText w:val="%1."/>
      <w:lvlJc w:val="left"/>
      <w:pPr>
        <w:ind w:left="720" w:hanging="360"/>
      </w:pPr>
      <w:rPr>
        <w:rFonts w:hint="default"/>
        <w:b w:val="0"/>
        <w:i w:val="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ED3FC2"/>
    <w:multiLevelType w:val="hybridMultilevel"/>
    <w:tmpl w:val="5B765A66"/>
    <w:lvl w:ilvl="0" w:tplc="7292C60E">
      <w:start w:val="1"/>
      <w:numFmt w:val="decimal"/>
      <w:lvlText w:val="%1."/>
      <w:lvlJc w:val="left"/>
      <w:pPr>
        <w:ind w:left="720" w:hanging="360"/>
      </w:pPr>
      <w:rPr>
        <w:rFonts w:hint="default"/>
        <w:b w:val="0"/>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96448C7"/>
    <w:multiLevelType w:val="hybridMultilevel"/>
    <w:tmpl w:val="939AFF0A"/>
    <w:lvl w:ilvl="0" w:tplc="7292C60E">
      <w:start w:val="1"/>
      <w:numFmt w:val="decimal"/>
      <w:lvlText w:val="%1."/>
      <w:lvlJc w:val="left"/>
      <w:pPr>
        <w:ind w:left="720" w:hanging="360"/>
      </w:pPr>
      <w:rPr>
        <w:rFonts w:hint="default"/>
        <w:b w:val="0"/>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A625791"/>
    <w:multiLevelType w:val="hybridMultilevel"/>
    <w:tmpl w:val="82DE194C"/>
    <w:lvl w:ilvl="0" w:tplc="CCB00AB0">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E1D5A70"/>
    <w:multiLevelType w:val="hybridMultilevel"/>
    <w:tmpl w:val="8692131A"/>
    <w:lvl w:ilvl="0" w:tplc="8F8C4EFA">
      <w:start w:val="6"/>
      <w:numFmt w:val="decimal"/>
      <w:lvlText w:val="%1."/>
      <w:lvlJc w:val="left"/>
      <w:pPr>
        <w:ind w:left="720" w:hanging="360"/>
      </w:pPr>
      <w:rPr>
        <w:rFonts w:hint="default"/>
        <w:b w:val="0"/>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6B44955"/>
    <w:multiLevelType w:val="hybridMultilevel"/>
    <w:tmpl w:val="EE54BA84"/>
    <w:lvl w:ilvl="0" w:tplc="2DA208C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5B03D62"/>
    <w:multiLevelType w:val="hybridMultilevel"/>
    <w:tmpl w:val="24B4750A"/>
    <w:lvl w:ilvl="0" w:tplc="DD664BAC">
      <w:start w:val="6"/>
      <w:numFmt w:val="decimal"/>
      <w:lvlText w:val="%1."/>
      <w:lvlJc w:val="left"/>
      <w:pPr>
        <w:ind w:left="720" w:hanging="360"/>
      </w:pPr>
      <w:rPr>
        <w:rFonts w:hint="default"/>
        <w:b w:val="0"/>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6327408"/>
    <w:multiLevelType w:val="hybridMultilevel"/>
    <w:tmpl w:val="10F86C52"/>
    <w:lvl w:ilvl="0" w:tplc="96769E3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A00762B"/>
    <w:multiLevelType w:val="hybridMultilevel"/>
    <w:tmpl w:val="2F32151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E28323A"/>
    <w:multiLevelType w:val="hybridMultilevel"/>
    <w:tmpl w:val="44061624"/>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73E4B1C"/>
    <w:multiLevelType w:val="hybridMultilevel"/>
    <w:tmpl w:val="5CD4CDEE"/>
    <w:lvl w:ilvl="0" w:tplc="7292C60E">
      <w:start w:val="1"/>
      <w:numFmt w:val="decimal"/>
      <w:lvlText w:val="%1."/>
      <w:lvlJc w:val="left"/>
      <w:pPr>
        <w:ind w:left="720" w:hanging="360"/>
      </w:pPr>
      <w:rPr>
        <w:rFonts w:hint="default"/>
        <w:b w:val="0"/>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0"/>
  </w:num>
  <w:num w:numId="3">
    <w:abstractNumId w:val="0"/>
  </w:num>
  <w:num w:numId="4">
    <w:abstractNumId w:val="1"/>
  </w:num>
  <w:num w:numId="5">
    <w:abstractNumId w:val="4"/>
  </w:num>
  <w:num w:numId="6">
    <w:abstractNumId w:val="2"/>
  </w:num>
  <w:num w:numId="7">
    <w:abstractNumId w:val="6"/>
  </w:num>
  <w:num w:numId="8">
    <w:abstractNumId w:val="7"/>
  </w:num>
  <w:num w:numId="9">
    <w:abstractNumId w:val="8"/>
  </w:num>
  <w:num w:numId="10">
    <w:abstractNumId w:val="5"/>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DA Poliba  ">
    <w15:presenceInfo w15:providerId="Windows Live" w15:userId="a81c71a57a25624d"/>
  </w15:person>
  <w15:person w15:author="MIDA Poliba   [2]">
    <w15:presenceInfo w15:providerId="Windows Live" w15:userId="a81c71a57a25624d"/>
  </w15:person>
  <w15:person w15:author="MIDA Poliba   [3]">
    <w15:presenceInfo w15:providerId="Windows Live" w15:userId="a81c71a57a25624d"/>
  </w15:person>
  <w15:person w15:author="MIDA Poliba   [4]">
    <w15:presenceInfo w15:providerId="Windows Live" w15:userId="a81c71a57a25624d"/>
  </w15:person>
  <w15:person w15:author="MIDA Poliba   [5]">
    <w15:presenceInfo w15:providerId="Windows Live" w15:userId="a81c71a57a25624d"/>
  </w15:person>
  <w15:person w15:author="MIDA Poliba   [6]">
    <w15:presenceInfo w15:providerId="Windows Live" w15:userId="a81c71a57a25624d"/>
  </w15:person>
  <w15:person w15:author="MIDA Poliba   [7]">
    <w15:presenceInfo w15:providerId="Windows Live" w15:userId="a81c71a57a25624d"/>
  </w15:person>
  <w15:person w15:author="MIDA Poliba   [8]">
    <w15:presenceInfo w15:providerId="Windows Live" w15:userId="a81c71a57a25624d"/>
  </w15:person>
  <w15:person w15:author="MIDA Poliba   [9]">
    <w15:presenceInfo w15:providerId="Windows Live" w15:userId="a81c71a57a25624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footnotePr>
    <w:footnote w:id="-1"/>
    <w:footnote w:id="0"/>
  </w:footnotePr>
  <w:endnotePr>
    <w:endnote w:id="-1"/>
    <w:endnote w:id="0"/>
  </w:endnotePr>
  <w:compat/>
  <w:rsids>
    <w:rsidRoot w:val="008663F9"/>
    <w:rsid w:val="00006D06"/>
    <w:rsid w:val="00014D9E"/>
    <w:rsid w:val="00031F25"/>
    <w:rsid w:val="0003402D"/>
    <w:rsid w:val="000342B8"/>
    <w:rsid w:val="00041FD0"/>
    <w:rsid w:val="00064E50"/>
    <w:rsid w:val="00084AD5"/>
    <w:rsid w:val="00087C70"/>
    <w:rsid w:val="000A0D5B"/>
    <w:rsid w:val="000A7365"/>
    <w:rsid w:val="000D08DA"/>
    <w:rsid w:val="000F2B5E"/>
    <w:rsid w:val="00103331"/>
    <w:rsid w:val="00166E53"/>
    <w:rsid w:val="001678D8"/>
    <w:rsid w:val="00170091"/>
    <w:rsid w:val="00186540"/>
    <w:rsid w:val="00192C5E"/>
    <w:rsid w:val="001933E1"/>
    <w:rsid w:val="001B1270"/>
    <w:rsid w:val="001E3276"/>
    <w:rsid w:val="001F66B4"/>
    <w:rsid w:val="00200353"/>
    <w:rsid w:val="002058EC"/>
    <w:rsid w:val="00230045"/>
    <w:rsid w:val="002332E9"/>
    <w:rsid w:val="0024018D"/>
    <w:rsid w:val="002453A2"/>
    <w:rsid w:val="00257AEF"/>
    <w:rsid w:val="00265173"/>
    <w:rsid w:val="00285209"/>
    <w:rsid w:val="0028578C"/>
    <w:rsid w:val="002966F5"/>
    <w:rsid w:val="002A4F16"/>
    <w:rsid w:val="002C4377"/>
    <w:rsid w:val="002E4DFD"/>
    <w:rsid w:val="003246ED"/>
    <w:rsid w:val="003308C1"/>
    <w:rsid w:val="0033246F"/>
    <w:rsid w:val="0033675A"/>
    <w:rsid w:val="00345024"/>
    <w:rsid w:val="00353833"/>
    <w:rsid w:val="00361CB0"/>
    <w:rsid w:val="00366F6F"/>
    <w:rsid w:val="003733B5"/>
    <w:rsid w:val="00377DD1"/>
    <w:rsid w:val="003929FD"/>
    <w:rsid w:val="00393E58"/>
    <w:rsid w:val="00393F65"/>
    <w:rsid w:val="003A6E02"/>
    <w:rsid w:val="003B6631"/>
    <w:rsid w:val="003F3238"/>
    <w:rsid w:val="003F49F0"/>
    <w:rsid w:val="0041649B"/>
    <w:rsid w:val="004857EE"/>
    <w:rsid w:val="00497184"/>
    <w:rsid w:val="004A3C4F"/>
    <w:rsid w:val="004A5365"/>
    <w:rsid w:val="004B0EB1"/>
    <w:rsid w:val="004B0F6B"/>
    <w:rsid w:val="004B2D82"/>
    <w:rsid w:val="00500073"/>
    <w:rsid w:val="00530D8B"/>
    <w:rsid w:val="00535EA7"/>
    <w:rsid w:val="00544B8E"/>
    <w:rsid w:val="005C3E14"/>
    <w:rsid w:val="005E096A"/>
    <w:rsid w:val="005F05DC"/>
    <w:rsid w:val="0062232D"/>
    <w:rsid w:val="00625B9F"/>
    <w:rsid w:val="006338EC"/>
    <w:rsid w:val="00652ACD"/>
    <w:rsid w:val="00661E9B"/>
    <w:rsid w:val="006A59D4"/>
    <w:rsid w:val="006E14DC"/>
    <w:rsid w:val="00713E91"/>
    <w:rsid w:val="00716797"/>
    <w:rsid w:val="00721495"/>
    <w:rsid w:val="007311B6"/>
    <w:rsid w:val="00735EA9"/>
    <w:rsid w:val="0074196D"/>
    <w:rsid w:val="00752280"/>
    <w:rsid w:val="00773B76"/>
    <w:rsid w:val="0077723C"/>
    <w:rsid w:val="00785E7F"/>
    <w:rsid w:val="007E342A"/>
    <w:rsid w:val="007F3EBC"/>
    <w:rsid w:val="008663F9"/>
    <w:rsid w:val="008937C7"/>
    <w:rsid w:val="008A6A91"/>
    <w:rsid w:val="008B7E43"/>
    <w:rsid w:val="008D2154"/>
    <w:rsid w:val="008D66FE"/>
    <w:rsid w:val="009225F0"/>
    <w:rsid w:val="00925CC7"/>
    <w:rsid w:val="00935E52"/>
    <w:rsid w:val="0095656D"/>
    <w:rsid w:val="00971166"/>
    <w:rsid w:val="0099112D"/>
    <w:rsid w:val="009A1451"/>
    <w:rsid w:val="009D6CF2"/>
    <w:rsid w:val="009F50D4"/>
    <w:rsid w:val="009F7682"/>
    <w:rsid w:val="00A36407"/>
    <w:rsid w:val="00A84EAC"/>
    <w:rsid w:val="00A87E99"/>
    <w:rsid w:val="00A91A6C"/>
    <w:rsid w:val="00AA39ED"/>
    <w:rsid w:val="00AC110E"/>
    <w:rsid w:val="00AD4334"/>
    <w:rsid w:val="00AE1434"/>
    <w:rsid w:val="00AF511D"/>
    <w:rsid w:val="00B13FFF"/>
    <w:rsid w:val="00B21693"/>
    <w:rsid w:val="00B40049"/>
    <w:rsid w:val="00B56186"/>
    <w:rsid w:val="00B8490C"/>
    <w:rsid w:val="00B91475"/>
    <w:rsid w:val="00BB1119"/>
    <w:rsid w:val="00BC35E6"/>
    <w:rsid w:val="00BC4889"/>
    <w:rsid w:val="00BC527A"/>
    <w:rsid w:val="00BD1C58"/>
    <w:rsid w:val="00C22DCA"/>
    <w:rsid w:val="00C374B0"/>
    <w:rsid w:val="00C41AB6"/>
    <w:rsid w:val="00C72DDF"/>
    <w:rsid w:val="00C733D1"/>
    <w:rsid w:val="00CC39A2"/>
    <w:rsid w:val="00CC4873"/>
    <w:rsid w:val="00CC6B37"/>
    <w:rsid w:val="00CD0ED1"/>
    <w:rsid w:val="00D06997"/>
    <w:rsid w:val="00D5222E"/>
    <w:rsid w:val="00DC48E1"/>
    <w:rsid w:val="00DC7105"/>
    <w:rsid w:val="00DD722D"/>
    <w:rsid w:val="00DF6935"/>
    <w:rsid w:val="00E036F9"/>
    <w:rsid w:val="00E24319"/>
    <w:rsid w:val="00E45425"/>
    <w:rsid w:val="00E46A6B"/>
    <w:rsid w:val="00E4792B"/>
    <w:rsid w:val="00E52186"/>
    <w:rsid w:val="00E5240B"/>
    <w:rsid w:val="00E65C80"/>
    <w:rsid w:val="00EB6141"/>
    <w:rsid w:val="00ED03FC"/>
    <w:rsid w:val="00F15AB2"/>
    <w:rsid w:val="00F948B7"/>
    <w:rsid w:val="00FA428A"/>
    <w:rsid w:val="00FD729D"/>
    <w:rsid w:val="00FE08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63F9"/>
    <w:rPr>
      <w:rFonts w:ascii="Calibri"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52280"/>
    <w:pPr>
      <w:ind w:left="720"/>
      <w:contextualSpacing/>
    </w:pPr>
  </w:style>
  <w:style w:type="character" w:styleId="Collegamentoipertestuale">
    <w:name w:val="Hyperlink"/>
    <w:basedOn w:val="Carpredefinitoparagrafo"/>
    <w:uiPriority w:val="99"/>
    <w:unhideWhenUsed/>
    <w:rsid w:val="00366F6F"/>
    <w:rPr>
      <w:color w:val="0000FF" w:themeColor="hyperlink"/>
      <w:u w:val="single"/>
    </w:rPr>
  </w:style>
  <w:style w:type="paragraph" w:styleId="Testofumetto">
    <w:name w:val="Balloon Text"/>
    <w:basedOn w:val="Normale"/>
    <w:link w:val="TestofumettoCarattere"/>
    <w:uiPriority w:val="99"/>
    <w:semiHidden/>
    <w:unhideWhenUsed/>
    <w:rsid w:val="00FD72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D729D"/>
    <w:rPr>
      <w:rFonts w:ascii="Tahoma" w:hAnsi="Tahoma" w:cs="Tahoma"/>
      <w:sz w:val="16"/>
      <w:szCs w:val="16"/>
      <w:lang w:eastAsia="it-IT"/>
    </w:rPr>
  </w:style>
  <w:style w:type="character" w:styleId="Rimandocommento">
    <w:name w:val="annotation reference"/>
    <w:basedOn w:val="Carpredefinitoparagrafo"/>
    <w:uiPriority w:val="99"/>
    <w:semiHidden/>
    <w:unhideWhenUsed/>
    <w:rsid w:val="000342B8"/>
    <w:rPr>
      <w:sz w:val="16"/>
      <w:szCs w:val="16"/>
    </w:rPr>
  </w:style>
  <w:style w:type="paragraph" w:styleId="Testocommento">
    <w:name w:val="annotation text"/>
    <w:basedOn w:val="Normale"/>
    <w:link w:val="TestocommentoCarattere"/>
    <w:uiPriority w:val="99"/>
    <w:semiHidden/>
    <w:unhideWhenUsed/>
    <w:rsid w:val="000342B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342B8"/>
    <w:rPr>
      <w:rFonts w:ascii="Calibri" w:hAnsi="Calibri"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342B8"/>
    <w:rPr>
      <w:b/>
      <w:bCs/>
    </w:rPr>
  </w:style>
  <w:style w:type="character" w:customStyle="1" w:styleId="SoggettocommentoCarattere">
    <w:name w:val="Soggetto commento Carattere"/>
    <w:basedOn w:val="TestocommentoCarattere"/>
    <w:link w:val="Soggettocommento"/>
    <w:uiPriority w:val="99"/>
    <w:semiHidden/>
    <w:rsid w:val="000342B8"/>
    <w:rPr>
      <w:rFonts w:ascii="Calibri" w:hAnsi="Calibri" w:cs="Times New Roman"/>
      <w:b/>
      <w:bCs/>
      <w:sz w:val="20"/>
      <w:szCs w:val="20"/>
      <w:lang w:eastAsia="it-IT"/>
    </w:rPr>
  </w:style>
  <w:style w:type="table" w:customStyle="1" w:styleId="GridTable1LightAccent3">
    <w:name w:val="Grid Table 1 Light Accent 3"/>
    <w:basedOn w:val="Tabellanormale"/>
    <w:uiPriority w:val="46"/>
    <w:rsid w:val="002332E9"/>
    <w:pPr>
      <w:spacing w:after="0" w:line="240" w:lineRule="auto"/>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Intestazione">
    <w:name w:val="header"/>
    <w:basedOn w:val="Normale"/>
    <w:link w:val="IntestazioneCarattere"/>
    <w:uiPriority w:val="99"/>
    <w:semiHidden/>
    <w:unhideWhenUsed/>
    <w:rsid w:val="00CC487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C4873"/>
    <w:rPr>
      <w:rFonts w:ascii="Calibri" w:hAnsi="Calibri" w:cs="Times New Roman"/>
      <w:lang w:eastAsia="it-IT"/>
    </w:rPr>
  </w:style>
  <w:style w:type="paragraph" w:styleId="Pidipagina">
    <w:name w:val="footer"/>
    <w:basedOn w:val="Normale"/>
    <w:link w:val="PidipaginaCarattere"/>
    <w:uiPriority w:val="99"/>
    <w:unhideWhenUsed/>
    <w:rsid w:val="00CC487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4873"/>
    <w:rPr>
      <w:rFonts w:ascii="Calibri" w:hAnsi="Calibri" w:cs="Times New Roman"/>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63F9"/>
    <w:rPr>
      <w:rFonts w:ascii="Calibri"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52280"/>
    <w:pPr>
      <w:ind w:left="720"/>
      <w:contextualSpacing/>
    </w:pPr>
  </w:style>
  <w:style w:type="character" w:styleId="Collegamentoipertestuale">
    <w:name w:val="Hyperlink"/>
    <w:basedOn w:val="Carpredefinitoparagrafo"/>
    <w:uiPriority w:val="99"/>
    <w:unhideWhenUsed/>
    <w:rsid w:val="00366F6F"/>
    <w:rPr>
      <w:color w:val="0000FF" w:themeColor="hyperlink"/>
      <w:u w:val="single"/>
    </w:rPr>
  </w:style>
  <w:style w:type="paragraph" w:styleId="Testofumetto">
    <w:name w:val="Balloon Text"/>
    <w:basedOn w:val="Normale"/>
    <w:link w:val="TestofumettoCarattere"/>
    <w:uiPriority w:val="99"/>
    <w:semiHidden/>
    <w:unhideWhenUsed/>
    <w:rsid w:val="00FD72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D729D"/>
    <w:rPr>
      <w:rFonts w:ascii="Tahoma" w:hAnsi="Tahoma" w:cs="Tahoma"/>
      <w:sz w:val="16"/>
      <w:szCs w:val="16"/>
      <w:lang w:eastAsia="it-IT"/>
    </w:rPr>
  </w:style>
  <w:style w:type="character" w:styleId="Rimandocommento">
    <w:name w:val="annotation reference"/>
    <w:basedOn w:val="Carpredefinitoparagrafo"/>
    <w:uiPriority w:val="99"/>
    <w:semiHidden/>
    <w:unhideWhenUsed/>
    <w:rsid w:val="000342B8"/>
    <w:rPr>
      <w:sz w:val="16"/>
      <w:szCs w:val="16"/>
    </w:rPr>
  </w:style>
  <w:style w:type="paragraph" w:styleId="Testocommento">
    <w:name w:val="annotation text"/>
    <w:basedOn w:val="Normale"/>
    <w:link w:val="TestocommentoCarattere"/>
    <w:uiPriority w:val="99"/>
    <w:semiHidden/>
    <w:unhideWhenUsed/>
    <w:rsid w:val="000342B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342B8"/>
    <w:rPr>
      <w:rFonts w:ascii="Calibri" w:hAnsi="Calibri"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342B8"/>
    <w:rPr>
      <w:b/>
      <w:bCs/>
    </w:rPr>
  </w:style>
  <w:style w:type="character" w:customStyle="1" w:styleId="SoggettocommentoCarattere">
    <w:name w:val="Soggetto commento Carattere"/>
    <w:basedOn w:val="TestocommentoCarattere"/>
    <w:link w:val="Soggettocommento"/>
    <w:uiPriority w:val="99"/>
    <w:semiHidden/>
    <w:rsid w:val="000342B8"/>
    <w:rPr>
      <w:rFonts w:ascii="Calibri" w:hAnsi="Calibri" w:cs="Times New Roman"/>
      <w:b/>
      <w:bCs/>
      <w:sz w:val="20"/>
      <w:szCs w:val="20"/>
      <w:lang w:eastAsia="it-IT"/>
    </w:rPr>
  </w:style>
  <w:style w:type="table" w:customStyle="1" w:styleId="GridTable1LightAccent3">
    <w:name w:val="Grid Table 1 Light Accent 3"/>
    <w:basedOn w:val="Tabellanormale"/>
    <w:uiPriority w:val="46"/>
    <w:rsid w:val="002332E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86970783">
      <w:bodyDiv w:val="1"/>
      <w:marLeft w:val="0"/>
      <w:marRight w:val="0"/>
      <w:marTop w:val="0"/>
      <w:marBottom w:val="0"/>
      <w:divBdr>
        <w:top w:val="none" w:sz="0" w:space="0" w:color="auto"/>
        <w:left w:val="none" w:sz="0" w:space="0" w:color="auto"/>
        <w:bottom w:val="none" w:sz="0" w:space="0" w:color="auto"/>
        <w:right w:val="none" w:sz="0" w:space="0" w:color="auto"/>
      </w:divBdr>
    </w:div>
    <w:div w:id="1902279927">
      <w:bodyDiv w:val="1"/>
      <w:marLeft w:val="0"/>
      <w:marRight w:val="0"/>
      <w:marTop w:val="0"/>
      <w:marBottom w:val="0"/>
      <w:divBdr>
        <w:top w:val="none" w:sz="0" w:space="0" w:color="auto"/>
        <w:left w:val="none" w:sz="0" w:space="0" w:color="auto"/>
        <w:bottom w:val="none" w:sz="0" w:space="0" w:color="auto"/>
        <w:right w:val="none" w:sz="0" w:space="0" w:color="auto"/>
      </w:divBdr>
      <w:divsChild>
        <w:div w:id="1176115655">
          <w:marLeft w:val="0"/>
          <w:marRight w:val="0"/>
          <w:marTop w:val="0"/>
          <w:marBottom w:val="0"/>
          <w:divBdr>
            <w:top w:val="none" w:sz="0" w:space="0" w:color="auto"/>
            <w:left w:val="none" w:sz="0" w:space="0" w:color="auto"/>
            <w:bottom w:val="none" w:sz="0" w:space="0" w:color="auto"/>
            <w:right w:val="none" w:sz="0" w:space="0" w:color="auto"/>
          </w:divBdr>
          <w:divsChild>
            <w:div w:id="1330988115">
              <w:marLeft w:val="0"/>
              <w:marRight w:val="0"/>
              <w:marTop w:val="0"/>
              <w:marBottom w:val="0"/>
              <w:divBdr>
                <w:top w:val="none" w:sz="0" w:space="0" w:color="auto"/>
                <w:left w:val="none" w:sz="0" w:space="0" w:color="auto"/>
                <w:bottom w:val="none" w:sz="0" w:space="0" w:color="auto"/>
                <w:right w:val="none" w:sz="0" w:space="0" w:color="auto"/>
              </w:divBdr>
              <w:divsChild>
                <w:div w:id="21215887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01198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1/relationships/commentsExtended" Target="commentsExtended.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5266A3-244E-40C9-AF31-029C843AB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13</Pages>
  <Words>4275</Words>
  <Characters>24368</Characters>
  <Application>Microsoft Office Word</Application>
  <DocSecurity>0</DocSecurity>
  <Lines>203</Lines>
  <Paragraphs>57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28586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Utente</cp:lastModifiedBy>
  <cp:revision>17</cp:revision>
  <cp:lastPrinted>2015-06-10T08:43:00Z</cp:lastPrinted>
  <dcterms:created xsi:type="dcterms:W3CDTF">2015-06-10T11:16:00Z</dcterms:created>
  <dcterms:modified xsi:type="dcterms:W3CDTF">2015-06-14T10:51:00Z</dcterms:modified>
</cp:coreProperties>
</file>