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E2" w:rsidRDefault="00267D09" w:rsidP="000F5CE2">
      <w:pPr>
        <w:rPr>
          <w:rFonts w:ascii="Calibri-Bold" w:eastAsiaTheme="minorEastAsia" w:hAnsi="Calibri-Bold" w:cs="Calibri-Bold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0.9pt;margin-top:13.05pt;width:174pt;height:75.7pt;z-index:-251658752;mso-position-horizontal-relative:text;mso-position-vertical-relative:text">
            <v:imagedata r:id="rId5" o:title="Logo Poliba con nome laterale"/>
          </v:shape>
        </w:pict>
      </w: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4B779C" w:rsidRDefault="004B779C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267D09" w:rsidRPr="00267D09" w:rsidRDefault="00267D09" w:rsidP="00267D09">
      <w:pPr>
        <w:spacing w:line="256" w:lineRule="auto"/>
        <w:jc w:val="center"/>
        <w:rPr>
          <w:rFonts w:ascii="Calibri-Bold" w:eastAsia="Times New Roman" w:hAnsi="Calibri-Bold" w:cs="Calibri-Bold"/>
          <w:b/>
          <w:sz w:val="28"/>
          <w:szCs w:val="28"/>
        </w:rPr>
      </w:pPr>
      <w:r w:rsidRPr="00267D09">
        <w:rPr>
          <w:rFonts w:ascii="Calibri-Bold" w:eastAsia="Times New Roman" w:hAnsi="Calibri-Bold" w:cs="Calibri-Bold"/>
          <w:b/>
          <w:sz w:val="28"/>
          <w:szCs w:val="28"/>
        </w:rPr>
        <w:t>Scuola di Dottorato del Politecnico di Bari</w:t>
      </w:r>
    </w:p>
    <w:p w:rsidR="00267D09" w:rsidRPr="00267D09" w:rsidRDefault="00267D09" w:rsidP="00267D09">
      <w:pPr>
        <w:keepNext/>
        <w:spacing w:after="0" w:line="240" w:lineRule="auto"/>
        <w:ind w:left="720"/>
        <w:jc w:val="center"/>
        <w:outlineLvl w:val="0"/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</w:pPr>
      <w:proofErr w:type="spellStart"/>
      <w:r w:rsidRPr="00267D09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Ph.D</w:t>
      </w:r>
      <w:proofErr w:type="spellEnd"/>
      <w:r w:rsidRPr="00267D09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. School</w:t>
      </w:r>
    </w:p>
    <w:p w:rsidR="000F5CE2" w:rsidRPr="000F5CE2" w:rsidRDefault="000F5CE2" w:rsidP="000F5CE2">
      <w:pPr>
        <w:pStyle w:val="Titolo1"/>
        <w:ind w:left="720"/>
        <w:rPr>
          <w:rFonts w:ascii="Calibri-Bold" w:eastAsiaTheme="minorEastAsia" w:hAnsi="Calibri-Bold" w:cs="Calibri-Bold"/>
          <w:sz w:val="28"/>
          <w:szCs w:val="28"/>
        </w:rPr>
      </w:pPr>
      <w:bookmarkStart w:id="0" w:name="_GoBack"/>
      <w:bookmarkEnd w:id="0"/>
    </w:p>
    <w:p w:rsidR="0096305C" w:rsidRPr="006C7305" w:rsidRDefault="0096305C" w:rsidP="0096305C">
      <w:pPr>
        <w:pStyle w:val="Paragrafoelenco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  <w:lang w:val="en-US"/>
        </w:rPr>
      </w:pPr>
      <w:r w:rsidRPr="00F4198D">
        <w:rPr>
          <w:rFonts w:ascii="Calibri-Bold" w:hAnsi="Calibri-Bold" w:cs="Calibri-Bold"/>
          <w:b/>
          <w:bCs/>
          <w:sz w:val="28"/>
          <w:szCs w:val="28"/>
          <w:lang w:val="en-US"/>
        </w:rPr>
        <w:t>Optimization and Control of Complex Systems</w:t>
      </w:r>
    </w:p>
    <w:p w:rsidR="0096305C" w:rsidRPr="00622B3D" w:rsidRDefault="0096305C" w:rsidP="0096305C">
      <w:pPr>
        <w:pStyle w:val="Normale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622B3D">
        <w:rPr>
          <w:rFonts w:ascii="Calibri" w:hAnsi="Calibri" w:cs="Calibri"/>
          <w:b/>
          <w:color w:val="000000"/>
        </w:rPr>
        <w:t>CFU: 3 (24 ore)</w:t>
      </w:r>
    </w:p>
    <w:p w:rsidR="0096305C" w:rsidRPr="006C7305" w:rsidRDefault="0096305C" w:rsidP="0096305C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6C7305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SSD: 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ING-INF/04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826"/>
      </w:tblGrid>
      <w:tr w:rsidR="0096305C" w:rsidRPr="0067059E" w:rsidTr="0087089D">
        <w:trPr>
          <w:trHeight w:val="2153"/>
        </w:trPr>
        <w:tc>
          <w:tcPr>
            <w:tcW w:w="979" w:type="pct"/>
          </w:tcPr>
          <w:p w:rsidR="0096305C" w:rsidRPr="00F4198D" w:rsidRDefault="0096305C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Goal</w:t>
            </w:r>
          </w:p>
        </w:tc>
        <w:tc>
          <w:tcPr>
            <w:tcW w:w="4021" w:type="pct"/>
          </w:tcPr>
          <w:p w:rsidR="0096305C" w:rsidRPr="00F4198D" w:rsidRDefault="0096305C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This course aims at providing PhD students with modeling and methodological tools for formulating and solving optimization and control problems in the field of complex systems engineering. </w:t>
            </w:r>
          </w:p>
          <w:p w:rsidR="0096305C" w:rsidRPr="00F4198D" w:rsidRDefault="0096305C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During the course several optimization and control problems </w:t>
            </w:r>
            <w:proofErr w:type="gramStart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will be formalized</w:t>
            </w:r>
            <w:proofErr w:type="gramEnd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, particularly referred to relevant issues within management and industrial engineering. Problem definition and resolution </w:t>
            </w:r>
            <w:proofErr w:type="gramStart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will be also implemented</w:t>
            </w:r>
            <w:proofErr w:type="gramEnd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in simulation and engineering software. </w:t>
            </w:r>
          </w:p>
          <w:p w:rsidR="0096305C" w:rsidRPr="00F4198D" w:rsidRDefault="0096305C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At end of this </w:t>
            </w:r>
            <w:proofErr w:type="gramStart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course</w:t>
            </w:r>
            <w:proofErr w:type="gramEnd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students will be able to deal with optimization and control of complex systems and to implement resolution techniques through simulation and engineering tools (</w:t>
            </w:r>
            <w:proofErr w:type="spellStart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Matlab</w:t>
            </w:r>
            <w:proofErr w:type="spellEnd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). </w:t>
            </w:r>
          </w:p>
          <w:p w:rsidR="0096305C" w:rsidRPr="00F4198D" w:rsidRDefault="0096305C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The final goal is to provide PhD students with the necessary background for starting research in the field of optimization and control of complex system such as large-scale systems.</w:t>
            </w:r>
          </w:p>
          <w:p w:rsidR="0096305C" w:rsidRPr="00F4198D" w:rsidRDefault="0096305C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Each lesson consists in lectures, numerical examples, simulation and analysis of case studies.</w:t>
            </w:r>
          </w:p>
        </w:tc>
      </w:tr>
      <w:tr w:rsidR="0096305C" w:rsidRPr="0067059E" w:rsidTr="0087089D">
        <w:trPr>
          <w:trHeight w:val="850"/>
        </w:trPr>
        <w:tc>
          <w:tcPr>
            <w:tcW w:w="979" w:type="pct"/>
          </w:tcPr>
          <w:p w:rsidR="0096305C" w:rsidRPr="00F4198D" w:rsidRDefault="0096305C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4021" w:type="pct"/>
          </w:tcPr>
          <w:p w:rsidR="0096305C" w:rsidRPr="00F4198D" w:rsidRDefault="0096305C" w:rsidP="0087089D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F4198D">
              <w:rPr>
                <w:rFonts w:eastAsia="Times New Roman" w:cstheme="minorHAnsi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Non-linear optimization. Examples: resource distribution, task planning and scheduling problems. </w:t>
            </w:r>
          </w:p>
          <w:p w:rsidR="0096305C" w:rsidRPr="00F4198D" w:rsidRDefault="0096305C" w:rsidP="0087089D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F4198D">
              <w:rPr>
                <w:rFonts w:eastAsia="Times New Roman" w:cstheme="minorHAnsi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Introduction to game theory. Connection of games theory with optimization and control. </w:t>
            </w:r>
          </w:p>
          <w:p w:rsidR="0096305C" w:rsidRPr="00F4198D" w:rsidRDefault="0096305C" w:rsidP="0087089D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F4198D">
              <w:rPr>
                <w:rFonts w:eastAsia="Times New Roman" w:cstheme="minorHAnsi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Introduction to parallel and distributed computation. Parallelization and decomposition in optimization problems. Iterative methods for nonlinear problems. </w:t>
            </w:r>
          </w:p>
          <w:p w:rsidR="0096305C" w:rsidRPr="00F4198D" w:rsidRDefault="0096305C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Decision and control systems architecture: Centralized, Decentralized, Hierarchical and Distributed approach. </w:t>
            </w:r>
          </w:p>
          <w:p w:rsidR="0096305C" w:rsidRPr="00F4198D" w:rsidRDefault="0096305C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Decentralized optimization and control. Primal and dual decomposition. Motivating examples. Resource allocation in single and multi-period.   </w:t>
            </w:r>
          </w:p>
          <w:p w:rsidR="0096305C" w:rsidRPr="00F4198D" w:rsidRDefault="0096305C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Hierarchical optimization and control. Multi-level programming. Motivating examples. Optimal planning for complex organizational structures in smart cities.    </w:t>
            </w:r>
          </w:p>
          <w:p w:rsidR="0096305C" w:rsidRPr="00F4198D" w:rsidRDefault="0096305C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Distributed optimization and control. Motivating examples. Energy scheduling for large-scale systems in smart grids.</w:t>
            </w:r>
          </w:p>
        </w:tc>
      </w:tr>
      <w:tr w:rsidR="0096305C" w:rsidRPr="0067059E" w:rsidTr="0087089D">
        <w:trPr>
          <w:trHeight w:val="1721"/>
        </w:trPr>
        <w:tc>
          <w:tcPr>
            <w:tcW w:w="979" w:type="pct"/>
          </w:tcPr>
          <w:p w:rsidR="0096305C" w:rsidRPr="00F4198D" w:rsidRDefault="0096305C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1356C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References</w:t>
            </w:r>
            <w:proofErr w:type="spellEnd"/>
          </w:p>
        </w:tc>
        <w:tc>
          <w:tcPr>
            <w:tcW w:w="4021" w:type="pct"/>
          </w:tcPr>
          <w:p w:rsidR="0096305C" w:rsidRPr="00F4198D" w:rsidRDefault="0096305C" w:rsidP="0087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Başar</w:t>
            </w:r>
            <w:proofErr w:type="spellEnd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T. &amp;  </w:t>
            </w:r>
            <w:proofErr w:type="spellStart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Olsder</w:t>
            </w:r>
            <w:proofErr w:type="spellEnd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G. J., </w:t>
            </w:r>
            <w:r w:rsidRPr="00F4198D">
              <w:rPr>
                <w:rFonts w:eastAsia="Times New Roman" w:cstheme="minorHAnsi"/>
                <w:i/>
                <w:sz w:val="24"/>
                <w:szCs w:val="24"/>
                <w:lang w:val="en-US"/>
              </w:rPr>
              <w:t xml:space="preserve">Dynamic </w:t>
            </w:r>
            <w:proofErr w:type="spellStart"/>
            <w:r w:rsidRPr="00F4198D">
              <w:rPr>
                <w:rFonts w:eastAsia="Times New Roman" w:cstheme="minorHAnsi"/>
                <w:i/>
                <w:sz w:val="24"/>
                <w:szCs w:val="24"/>
                <w:lang w:val="en-US"/>
              </w:rPr>
              <w:t>Noncooperative</w:t>
            </w:r>
            <w:proofErr w:type="spellEnd"/>
            <w:r w:rsidRPr="00F4198D">
              <w:rPr>
                <w:rFonts w:eastAsia="Times New Roman" w:cstheme="minorHAnsi"/>
                <w:i/>
                <w:sz w:val="24"/>
                <w:szCs w:val="24"/>
                <w:lang w:val="en-US"/>
              </w:rPr>
              <w:t xml:space="preserve"> Game Theory</w:t>
            </w: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, SIAM Series in Classics in Applied Mathematics. Philadelphia, PA:SIAM, 1999</w:t>
            </w:r>
          </w:p>
          <w:p w:rsidR="0096305C" w:rsidRPr="00F4198D" w:rsidRDefault="0096305C" w:rsidP="0087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Bertsekas</w:t>
            </w:r>
            <w:proofErr w:type="spellEnd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, D. P., &amp; </w:t>
            </w:r>
            <w:proofErr w:type="spellStart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Tsitsiklis</w:t>
            </w:r>
            <w:proofErr w:type="spellEnd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, J. N. (1989). </w:t>
            </w:r>
            <w:r w:rsidRPr="00F4198D">
              <w:rPr>
                <w:rFonts w:eastAsia="Times New Roman" w:cstheme="minorHAnsi"/>
                <w:i/>
                <w:sz w:val="24"/>
                <w:szCs w:val="24"/>
                <w:lang w:val="en-US"/>
              </w:rPr>
              <w:t>Parallel and distributed computation: numerical methods</w:t>
            </w: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(Vol. 23). Englewood Cliffs, NJ: Prentice Hall</w:t>
            </w:r>
          </w:p>
          <w:p w:rsidR="0096305C" w:rsidRPr="00F4198D" w:rsidRDefault="0096305C" w:rsidP="0087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Boyd S. &amp; </w:t>
            </w:r>
            <w:proofErr w:type="spellStart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Vandenberghe</w:t>
            </w:r>
            <w:proofErr w:type="spellEnd"/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L., </w:t>
            </w:r>
            <w:r w:rsidRPr="00F4198D">
              <w:rPr>
                <w:rFonts w:eastAsia="Times New Roman" w:cstheme="minorHAnsi"/>
                <w:i/>
                <w:sz w:val="24"/>
                <w:szCs w:val="24"/>
                <w:lang w:val="en-US"/>
              </w:rPr>
              <w:t>Convex Optimization</w:t>
            </w: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, Cambridge University Press, UK, 2004.</w:t>
            </w:r>
          </w:p>
          <w:p w:rsidR="0096305C" w:rsidRPr="00F4198D" w:rsidRDefault="0096305C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Slides and supporting material from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the </w:t>
            </w:r>
            <w:r w:rsidRPr="00F4198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lecturer. </w:t>
            </w:r>
          </w:p>
        </w:tc>
      </w:tr>
    </w:tbl>
    <w:p w:rsidR="0096305C" w:rsidRDefault="0096305C" w:rsidP="0096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920CE2" w:rsidRPr="004B779C" w:rsidRDefault="00920CE2" w:rsidP="0096305C">
      <w:pPr>
        <w:pStyle w:val="Paragrafoelenco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920CE2" w:rsidRPr="004B7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2394"/>
    <w:multiLevelType w:val="hybridMultilevel"/>
    <w:tmpl w:val="299CAC74"/>
    <w:lvl w:ilvl="0" w:tplc="01F68A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EC4C71"/>
    <w:multiLevelType w:val="hybridMultilevel"/>
    <w:tmpl w:val="8860504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057F3"/>
    <w:multiLevelType w:val="hybridMultilevel"/>
    <w:tmpl w:val="94BA2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F48E0"/>
    <w:multiLevelType w:val="hybridMultilevel"/>
    <w:tmpl w:val="4364C384"/>
    <w:lvl w:ilvl="0" w:tplc="2B60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380B"/>
    <w:multiLevelType w:val="hybridMultilevel"/>
    <w:tmpl w:val="5E068EEA"/>
    <w:lvl w:ilvl="0" w:tplc="29FAB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GB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630FA"/>
    <w:multiLevelType w:val="hybridMultilevel"/>
    <w:tmpl w:val="3E08130C"/>
    <w:lvl w:ilvl="0" w:tplc="7F1A96F8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2"/>
    <w:rsid w:val="0009405E"/>
    <w:rsid w:val="000F5CE2"/>
    <w:rsid w:val="0021694A"/>
    <w:rsid w:val="00267D09"/>
    <w:rsid w:val="004B779C"/>
    <w:rsid w:val="00723558"/>
    <w:rsid w:val="008A241F"/>
    <w:rsid w:val="00920CE2"/>
    <w:rsid w:val="0096305C"/>
    <w:rsid w:val="00E871F1"/>
    <w:rsid w:val="00F706A2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38D479-60C5-49A8-9377-2351EBA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5C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F5C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CE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5CE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F5C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04E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unhideWhenUsed/>
    <w:rsid w:val="004B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F7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706A2"/>
    <w:rPr>
      <w:rFonts w:ascii="Courier New" w:eastAsia="Times New Roman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AMM-P0361</dc:creator>
  <cp:keywords/>
  <dc:description/>
  <cp:lastModifiedBy>AMM-P0361</cp:lastModifiedBy>
  <cp:revision>3</cp:revision>
  <cp:lastPrinted>2017-05-17T07:31:00Z</cp:lastPrinted>
  <dcterms:created xsi:type="dcterms:W3CDTF">2017-05-17T07:42:00Z</dcterms:created>
  <dcterms:modified xsi:type="dcterms:W3CDTF">2017-05-17T08:24:00Z</dcterms:modified>
</cp:coreProperties>
</file>